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93324" w:rsidTr="005E2591">
        <w:trPr>
          <w:jc w:val="right"/>
        </w:trPr>
        <w:tc>
          <w:tcPr>
            <w:tcW w:w="4786" w:type="dxa"/>
          </w:tcPr>
          <w:p w:rsidR="00193324" w:rsidRPr="00193324" w:rsidRDefault="0055661C" w:rsidP="0019332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193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193324" w:rsidRPr="00193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93324" w:rsidRDefault="00193324" w:rsidP="0019332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193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193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193324" w:rsidRDefault="0055661C" w:rsidP="0019332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193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93324" w:rsidRDefault="00193324" w:rsidP="00193324">
            <w:pPr>
              <w:spacing w:after="0"/>
              <w:jc w:val="right"/>
            </w:pPr>
            <w:r w:rsidRPr="00193324">
              <w:rPr>
                <w:bCs/>
              </w:rPr>
              <w:t>от 28 февраля 2023 года № 26</w:t>
            </w:r>
          </w:p>
        </w:tc>
      </w:tr>
    </w:tbl>
    <w:p w:rsidR="00193324" w:rsidRPr="00193324" w:rsidRDefault="00193324" w:rsidP="00193324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193324" w:rsidRDefault="00A93DD0" w:rsidP="00193324">
      <w:pPr>
        <w:spacing w:after="0"/>
        <w:jc w:val="center"/>
        <w:rPr>
          <w:b/>
        </w:rPr>
      </w:pPr>
      <w:r w:rsidRPr="00193324">
        <w:rPr>
          <w:b/>
        </w:rPr>
        <w:t xml:space="preserve">Описание объекта закупки в соответствии со статьей 33 Федерального закона </w:t>
      </w:r>
      <w:r w:rsidRPr="00193324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93324">
        <w:rPr>
          <w:b/>
        </w:rPr>
        <w:br/>
        <w:t>(далее - Федеральный закон от 05 апреля 2013 года № 44-ФЗ)</w:t>
      </w:r>
    </w:p>
    <w:p w:rsidR="00055CB3" w:rsidRPr="00193324" w:rsidRDefault="00055CB3" w:rsidP="00193324">
      <w:pPr>
        <w:pStyle w:val="a7"/>
        <w:spacing w:after="0"/>
        <w:ind w:left="0"/>
        <w:contextualSpacing w:val="0"/>
        <w:rPr>
          <w:b/>
          <w:u w:val="single"/>
        </w:rPr>
      </w:pPr>
    </w:p>
    <w:p w:rsidR="00C043D6" w:rsidRPr="00193324" w:rsidRDefault="00C043D6" w:rsidP="00193324">
      <w:pPr>
        <w:spacing w:after="0"/>
        <w:ind w:firstLine="709"/>
        <w:rPr>
          <w:b/>
        </w:rPr>
      </w:pPr>
      <w:r w:rsidRPr="00193324">
        <w:rPr>
          <w:b/>
        </w:rPr>
        <w:t>1. «Общие сведения».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  <w:u w:val="single"/>
        </w:rPr>
        <w:t>1.1 Предмет выполнения работ:</w:t>
      </w:r>
      <w:r w:rsidRPr="00193324">
        <w:rPr>
          <w:b/>
        </w:rPr>
        <w:t xml:space="preserve"> </w:t>
      </w:r>
      <w:r w:rsidRPr="00193324">
        <w:t>замена тротуара</w:t>
      </w:r>
      <w:r w:rsidR="002D138B" w:rsidRPr="00193324">
        <w:rPr>
          <w:shd w:val="clear" w:color="auto" w:fill="FAFAFA"/>
        </w:rPr>
        <w:t xml:space="preserve"> по ул. Пионерская от жилого дома № 2 до жилого дома № 30 с. Яренск Ленского района Архангельской области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  <w:u w:val="single"/>
        </w:rPr>
        <w:t>1.2. Источник финансирования:</w:t>
      </w:r>
      <w:r w:rsidRPr="00193324">
        <w:rPr>
          <w:b/>
        </w:rPr>
        <w:t xml:space="preserve"> </w:t>
      </w:r>
      <w:r w:rsidR="00193324">
        <w:t xml:space="preserve">средства </w:t>
      </w:r>
      <w:r w:rsidRPr="00193324">
        <w:t>бюджета МО «Ленский муниципальный район».</w:t>
      </w:r>
    </w:p>
    <w:p w:rsidR="00C043D6" w:rsidRPr="00193324" w:rsidRDefault="00C043D6" w:rsidP="00193324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193324">
        <w:rPr>
          <w:b/>
          <w:bCs/>
          <w:u w:val="single"/>
        </w:rPr>
        <w:t>1.3. Место выполнения работ</w:t>
      </w:r>
      <w:r w:rsidRPr="00193324">
        <w:rPr>
          <w:b/>
          <w:bCs/>
        </w:rPr>
        <w:t xml:space="preserve"> – </w:t>
      </w:r>
      <w:r w:rsidRPr="00193324">
        <w:rPr>
          <w:bCs/>
        </w:rPr>
        <w:t>РФ,</w:t>
      </w:r>
      <w:r w:rsidRPr="00193324">
        <w:rPr>
          <w:b/>
          <w:bCs/>
        </w:rPr>
        <w:t xml:space="preserve"> </w:t>
      </w:r>
      <w:r w:rsidRPr="00193324">
        <w:rPr>
          <w:bCs/>
        </w:rPr>
        <w:t xml:space="preserve">Архангельская область, Ленский район, </w:t>
      </w:r>
      <w:r w:rsidR="00193324">
        <w:rPr>
          <w:bCs/>
        </w:rPr>
        <w:br/>
      </w:r>
      <w:r w:rsidRPr="00193324">
        <w:rPr>
          <w:bCs/>
        </w:rPr>
        <w:t>с. Яренск, ул. Пионерская от жилого дома №2 до жилого дома №30</w:t>
      </w:r>
      <w:r w:rsidR="00193324">
        <w:rPr>
          <w:bCs/>
        </w:rPr>
        <w:t>.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  <w:u w:val="single"/>
        </w:rPr>
        <w:t>1.4. Сроки начала и окончания работ:</w:t>
      </w:r>
      <w:r w:rsidRPr="00193324">
        <w:t xml:space="preserve"> 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</w:rPr>
        <w:t>Начало работ:</w:t>
      </w:r>
      <w:r w:rsidRPr="00193324">
        <w:t xml:space="preserve"> </w:t>
      </w:r>
      <w:proofErr w:type="gramStart"/>
      <w:r w:rsidRPr="00193324">
        <w:t>с даты подписания</w:t>
      </w:r>
      <w:proofErr w:type="gramEnd"/>
      <w:r w:rsidRPr="00193324">
        <w:t xml:space="preserve"> муниципального контракта в ЕИС Заказчиком.</w:t>
      </w:r>
    </w:p>
    <w:p w:rsidR="00C043D6" w:rsidRPr="00193324" w:rsidRDefault="00C043D6" w:rsidP="00193324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193324">
        <w:rPr>
          <w:b/>
        </w:rPr>
        <w:t>Окончание работ:</w:t>
      </w:r>
      <w:r w:rsidRPr="00193324">
        <w:t xml:space="preserve"> до 15 июля 2023 г.</w:t>
      </w:r>
    </w:p>
    <w:p w:rsidR="00C043D6" w:rsidRPr="00193324" w:rsidRDefault="00C043D6" w:rsidP="00193324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</w:p>
    <w:p w:rsidR="00C043D6" w:rsidRPr="00193324" w:rsidRDefault="00C043D6" w:rsidP="00193324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  <w:u w:val="single"/>
        </w:rPr>
      </w:pPr>
      <w:r w:rsidRPr="00193324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C043D6" w:rsidRPr="00193324" w:rsidRDefault="00C043D6" w:rsidP="00193324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193324">
        <w:rPr>
          <w:b/>
          <w:u w:val="single"/>
        </w:rPr>
        <w:t>2.1.</w:t>
      </w:r>
      <w:r w:rsidRPr="00193324">
        <w:t xml:space="preserve"> Подрядчик </w:t>
      </w:r>
      <w:r w:rsidRPr="0019332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193324">
        <w:t>, указанными</w:t>
      </w:r>
      <w:r w:rsidRPr="00193324">
        <w:t xml:space="preserve"> в </w:t>
      </w:r>
      <w:r w:rsidRPr="00193324">
        <w:rPr>
          <w:b/>
        </w:rPr>
        <w:t xml:space="preserve">Описании объекта закупки, сметной документации, </w:t>
      </w:r>
      <w:r w:rsidR="00193324">
        <w:t>а также с условиями и в сроки, установленные</w:t>
      </w:r>
      <w:r w:rsidRPr="00193324">
        <w:t xml:space="preserve"> действующим законодательством,</w:t>
      </w:r>
      <w:r w:rsidRPr="00193324">
        <w:rPr>
          <w:rFonts w:eastAsia="Calibri"/>
          <w:lang w:eastAsia="en-US"/>
        </w:rPr>
        <w:t xml:space="preserve"> с соблюдением технологии производства.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rPr>
          <w:b/>
          <w:u w:val="single"/>
        </w:rPr>
        <w:t>2.1.1.</w:t>
      </w:r>
      <w:r w:rsidRPr="00193324">
        <w:rPr>
          <w:b/>
        </w:rPr>
        <w:t xml:space="preserve"> </w:t>
      </w:r>
      <w:r w:rsidRPr="00193324">
        <w:t>Ведомость объемов работ:</w:t>
      </w:r>
    </w:p>
    <w:p w:rsidR="00C043D6" w:rsidRPr="00193324" w:rsidRDefault="00C043D6" w:rsidP="00193324">
      <w:pPr>
        <w:spacing w:after="0"/>
      </w:pPr>
    </w:p>
    <w:tbl>
      <w:tblPr>
        <w:tblW w:w="93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625"/>
        <w:gridCol w:w="3515"/>
        <w:gridCol w:w="2268"/>
        <w:gridCol w:w="1442"/>
      </w:tblGrid>
      <w:tr w:rsidR="00C043D6" w:rsidRPr="00193324" w:rsidTr="00193324">
        <w:trPr>
          <w:trHeight w:val="70"/>
        </w:trPr>
        <w:tc>
          <w:tcPr>
            <w:tcW w:w="473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№</w:t>
            </w:r>
          </w:p>
          <w:p w:rsidR="00C043D6" w:rsidRPr="00193324" w:rsidRDefault="00C043D6" w:rsidP="00193324">
            <w:pPr>
              <w:spacing w:after="0"/>
              <w:jc w:val="center"/>
            </w:pPr>
            <w:proofErr w:type="spellStart"/>
            <w:r w:rsidRPr="00193324">
              <w:t>пп</w:t>
            </w:r>
            <w:proofErr w:type="spellEnd"/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Обоснование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Наименование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Ед.</w:t>
            </w:r>
            <w:r w:rsidR="00193324" w:rsidRPr="00193324">
              <w:t xml:space="preserve"> </w:t>
            </w:r>
            <w:proofErr w:type="spellStart"/>
            <w:r w:rsidRPr="00193324">
              <w:t>изм</w:t>
            </w:r>
            <w:proofErr w:type="spellEnd"/>
            <w:r w:rsidRPr="00193324">
              <w:t>.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Количество</w:t>
            </w:r>
          </w:p>
        </w:tc>
      </w:tr>
      <w:tr w:rsidR="00C043D6" w:rsidRPr="00193324" w:rsidTr="00193324">
        <w:trPr>
          <w:trHeight w:val="212"/>
        </w:trPr>
        <w:tc>
          <w:tcPr>
            <w:tcW w:w="9323" w:type="dxa"/>
            <w:gridSpan w:val="5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Раздел 1. Подготовка площадки под тротуар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ГЭСН27-03-008-01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Разборка покрытий и оснований тротуаров деревянных вручную (применительно)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tabs>
                <w:tab w:val="left" w:pos="415"/>
              </w:tabs>
              <w:spacing w:after="0"/>
              <w:jc w:val="center"/>
            </w:pPr>
            <w:r w:rsidRPr="00193324">
              <w:t>100 м</w:t>
            </w:r>
            <w:proofErr w:type="gramStart"/>
            <w:r w:rsidRPr="00193324">
              <w:t>2</w:t>
            </w:r>
            <w:proofErr w:type="gramEnd"/>
          </w:p>
          <w:p w:rsidR="00C043D6" w:rsidRPr="00193324" w:rsidRDefault="00C043D6" w:rsidP="00193324">
            <w:pPr>
              <w:tabs>
                <w:tab w:val="left" w:pos="415"/>
              </w:tabs>
              <w:spacing w:after="0"/>
              <w:jc w:val="center"/>
            </w:pPr>
            <w:r w:rsidRPr="00193324">
              <w:t>конструкций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680"/>
              </w:tabs>
              <w:spacing w:after="0"/>
              <w:jc w:val="center"/>
            </w:pPr>
            <w:r w:rsidRPr="00193324">
              <w:t>4,163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2.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ГЭСН01-02-027-05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Планировка площадей: ручным способом группа грунтов 2</w:t>
            </w:r>
          </w:p>
        </w:tc>
        <w:tc>
          <w:tcPr>
            <w:tcW w:w="2268" w:type="dxa"/>
            <w:vAlign w:val="center"/>
          </w:tcPr>
          <w:p w:rsidR="00C043D6" w:rsidRPr="00193324" w:rsidRDefault="00193324" w:rsidP="00193324">
            <w:pPr>
              <w:spacing w:after="0"/>
              <w:jc w:val="center"/>
            </w:pPr>
            <w:r w:rsidRPr="00193324">
              <w:t>1000 м</w:t>
            </w:r>
            <w:proofErr w:type="gramStart"/>
            <w:r w:rsidRPr="00193324">
              <w:t>2</w:t>
            </w:r>
            <w:proofErr w:type="gramEnd"/>
            <w:r w:rsidRPr="00193324">
              <w:t xml:space="preserve"> </w:t>
            </w:r>
            <w:r w:rsidR="00C043D6" w:rsidRPr="00193324">
              <w:t>спланированной площади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0,4163</w:t>
            </w:r>
          </w:p>
        </w:tc>
      </w:tr>
      <w:tr w:rsidR="00C043D6" w:rsidRPr="00193324" w:rsidTr="00193324">
        <w:trPr>
          <w:trHeight w:val="212"/>
        </w:trPr>
        <w:tc>
          <w:tcPr>
            <w:tcW w:w="9323" w:type="dxa"/>
            <w:gridSpan w:val="5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Раздел 2. Устройство тротуара</w:t>
            </w:r>
          </w:p>
        </w:tc>
      </w:tr>
      <w:tr w:rsidR="00C043D6" w:rsidRPr="00193324" w:rsidTr="00193324">
        <w:trPr>
          <w:trHeight w:val="646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3.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ГЭСН27-07-004-01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Устройство деревянных тротуаров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100 м</w:t>
            </w:r>
            <w:proofErr w:type="gramStart"/>
            <w:r w:rsidRPr="00193324">
              <w:t>2</w:t>
            </w:r>
            <w:proofErr w:type="gramEnd"/>
          </w:p>
          <w:p w:rsidR="00C043D6" w:rsidRPr="00193324" w:rsidRDefault="00C043D6" w:rsidP="00193324">
            <w:pPr>
              <w:spacing w:after="0"/>
              <w:jc w:val="center"/>
            </w:pPr>
            <w:r w:rsidRPr="00193324">
              <w:t>тротуара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</w:pPr>
            <w:r w:rsidRPr="00193324">
              <w:t>4,163</w:t>
            </w:r>
          </w:p>
        </w:tc>
      </w:tr>
      <w:tr w:rsidR="00C043D6" w:rsidRPr="00193324" w:rsidTr="00193324">
        <w:trPr>
          <w:trHeight w:val="212"/>
        </w:trPr>
        <w:tc>
          <w:tcPr>
            <w:tcW w:w="9323" w:type="dxa"/>
            <w:gridSpan w:val="5"/>
            <w:shd w:val="clear" w:color="auto" w:fill="auto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Раздел 3.</w:t>
            </w:r>
            <w:r w:rsidR="00193324" w:rsidRPr="00193324">
              <w:rPr>
                <w:b/>
              </w:rPr>
              <w:t xml:space="preserve"> </w:t>
            </w:r>
            <w:r w:rsidRPr="00193324">
              <w:rPr>
                <w:b/>
              </w:rPr>
              <w:t xml:space="preserve">Устройство моста через канаву </w:t>
            </w:r>
            <w:proofErr w:type="gramStart"/>
            <w:r w:rsidRPr="00193324">
              <w:rPr>
                <w:b/>
              </w:rPr>
              <w:t>у</w:t>
            </w:r>
            <w:proofErr w:type="gramEnd"/>
            <w:r w:rsidRPr="00193324">
              <w:rPr>
                <w:b/>
              </w:rPr>
              <w:t xml:space="preserve"> ж/д. №14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4.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ГЭСН01-02-058-02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Копание ям вручную без креплений для стоек и столбов без откосов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100 м3</w:t>
            </w:r>
          </w:p>
          <w:p w:rsidR="00C043D6" w:rsidRPr="00193324" w:rsidRDefault="00C043D6" w:rsidP="00193324">
            <w:pPr>
              <w:spacing w:after="0"/>
              <w:jc w:val="center"/>
            </w:pPr>
            <w:r w:rsidRPr="00193324">
              <w:t>грунта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</w:pPr>
            <w:r w:rsidRPr="00193324">
              <w:t>0,00168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5.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ГЭСН30-06-001-01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Устройство деревянных опор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 м3</w:t>
            </w:r>
          </w:p>
          <w:p w:rsidR="00C043D6" w:rsidRPr="00193324" w:rsidRDefault="00C043D6" w:rsidP="00193324">
            <w:pPr>
              <w:spacing w:after="0"/>
              <w:jc w:val="center"/>
            </w:pPr>
            <w:r w:rsidRPr="00193324">
              <w:t>лесоматериала в деле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0,726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6.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ГЭСН30-06-002-03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Устройство деревянных пролетных строений мостов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 м3</w:t>
            </w:r>
          </w:p>
          <w:p w:rsidR="00C043D6" w:rsidRPr="00193324" w:rsidRDefault="00C043D6" w:rsidP="00193324">
            <w:pPr>
              <w:spacing w:after="0"/>
              <w:jc w:val="center"/>
            </w:pPr>
            <w:r w:rsidRPr="00193324">
              <w:t>Лесоматериала в деле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0,</w:t>
            </w:r>
            <w:r w:rsidRPr="00193324">
              <w:rPr>
                <w:lang w:val="en-US"/>
              </w:rPr>
              <w:t>57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lastRenderedPageBreak/>
              <w:t>7.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ГЭСН30-08-003-02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>Установка деревянных перил на мостах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100 м. перил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00"/>
              </w:tabs>
              <w:spacing w:after="0"/>
              <w:jc w:val="center"/>
            </w:pPr>
            <w:r w:rsidRPr="00193324">
              <w:t>0.18</w:t>
            </w:r>
          </w:p>
        </w:tc>
      </w:tr>
      <w:tr w:rsidR="00C043D6" w:rsidRPr="00193324" w:rsidTr="00193324">
        <w:trPr>
          <w:trHeight w:val="212"/>
        </w:trPr>
        <w:tc>
          <w:tcPr>
            <w:tcW w:w="9323" w:type="dxa"/>
            <w:gridSpan w:val="5"/>
            <w:shd w:val="clear" w:color="auto" w:fill="auto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Раздел 4. Доставка материалов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8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rPr>
                <w:b/>
              </w:rPr>
            </w:pPr>
            <w:r w:rsidRPr="00193324">
              <w:rPr>
                <w:b/>
              </w:rPr>
              <w:t>ФССЦпг-03-01-02-010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</w:pPr>
            <w:r w:rsidRPr="00193324">
              <w:t xml:space="preserve">Перевозка бетонных и </w:t>
            </w:r>
            <w:proofErr w:type="gramStart"/>
            <w:r w:rsidRPr="00193324">
              <w:t>ж/б</w:t>
            </w:r>
            <w:proofErr w:type="gramEnd"/>
            <w:r w:rsidRPr="00193324">
              <w:t xml:space="preserve"> изделий, стеновых и перегородочных материалов (кирпич, блоки, камни, плиты и панели), лесоматериалов круглых и пиломатериалов автомобилями бортовыми грузоподъемностью до 15 т, на расстояние до 10 км: II класс груза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 т.</w:t>
            </w:r>
          </w:p>
          <w:p w:rsidR="00C043D6" w:rsidRPr="00193324" w:rsidRDefault="00C043D6" w:rsidP="00193324">
            <w:pPr>
              <w:spacing w:after="0"/>
              <w:jc w:val="center"/>
            </w:pPr>
            <w:r w:rsidRPr="00193324">
              <w:t>груза</w:t>
            </w:r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</w:pPr>
            <w:r w:rsidRPr="00193324">
              <w:t>12</w:t>
            </w:r>
          </w:p>
        </w:tc>
      </w:tr>
      <w:tr w:rsidR="00C043D6" w:rsidRPr="00193324" w:rsidTr="00193324">
        <w:trPr>
          <w:trHeight w:val="212"/>
        </w:trPr>
        <w:tc>
          <w:tcPr>
            <w:tcW w:w="9323" w:type="dxa"/>
            <w:gridSpan w:val="5"/>
            <w:shd w:val="clear" w:color="auto" w:fill="auto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Раздел 5. Уборка и вывозка мусора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9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ФССЦпг-01-01-01-041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proofErr w:type="spellStart"/>
            <w:r w:rsidRPr="00193324">
              <w:t>чел</w:t>
            </w:r>
            <w:proofErr w:type="gramStart"/>
            <w:r w:rsidRPr="00193324">
              <w:t>.ч</w:t>
            </w:r>
            <w:proofErr w:type="gramEnd"/>
            <w:r w:rsidRPr="00193324">
              <w:t>ас</w:t>
            </w:r>
            <w:proofErr w:type="spellEnd"/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</w:pPr>
            <w:r w:rsidRPr="00193324">
              <w:t>18</w:t>
            </w:r>
          </w:p>
        </w:tc>
      </w:tr>
      <w:tr w:rsidR="00C043D6" w:rsidRPr="00193324" w:rsidTr="00193324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10</w:t>
            </w:r>
          </w:p>
        </w:tc>
        <w:tc>
          <w:tcPr>
            <w:tcW w:w="162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  <w:rPr>
                <w:b/>
              </w:rPr>
            </w:pPr>
            <w:r w:rsidRPr="00193324">
              <w:rPr>
                <w:b/>
              </w:rPr>
              <w:t>ФССЦпг-03-21-01-001</w:t>
            </w:r>
          </w:p>
        </w:tc>
        <w:tc>
          <w:tcPr>
            <w:tcW w:w="3515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r w:rsidRPr="00193324">
              <w:t>Перевозка грузов автомобилями-самосвалами грузоподъемностью 10 т. С утилизацией</w:t>
            </w:r>
          </w:p>
        </w:tc>
        <w:tc>
          <w:tcPr>
            <w:tcW w:w="2268" w:type="dxa"/>
            <w:vAlign w:val="center"/>
          </w:tcPr>
          <w:p w:rsidR="00C043D6" w:rsidRPr="00193324" w:rsidRDefault="00C043D6" w:rsidP="00193324">
            <w:pPr>
              <w:spacing w:after="0"/>
              <w:jc w:val="center"/>
            </w:pPr>
            <w:proofErr w:type="spellStart"/>
            <w:r w:rsidRPr="00193324">
              <w:t>маш</w:t>
            </w:r>
            <w:proofErr w:type="gramStart"/>
            <w:r w:rsidRPr="00193324">
              <w:t>.р</w:t>
            </w:r>
            <w:proofErr w:type="gramEnd"/>
            <w:r w:rsidRPr="00193324">
              <w:t>ейс</w:t>
            </w:r>
            <w:proofErr w:type="spellEnd"/>
          </w:p>
        </w:tc>
        <w:tc>
          <w:tcPr>
            <w:tcW w:w="1442" w:type="dxa"/>
            <w:vAlign w:val="center"/>
          </w:tcPr>
          <w:p w:rsidR="00C043D6" w:rsidRPr="00193324" w:rsidRDefault="00C043D6" w:rsidP="00193324">
            <w:pPr>
              <w:tabs>
                <w:tab w:val="left" w:pos="539"/>
              </w:tabs>
              <w:spacing w:after="0"/>
              <w:jc w:val="center"/>
            </w:pPr>
            <w:r w:rsidRPr="00193324">
              <w:t>3</w:t>
            </w:r>
          </w:p>
        </w:tc>
      </w:tr>
    </w:tbl>
    <w:p w:rsidR="00C043D6" w:rsidRPr="00193324" w:rsidRDefault="00C043D6" w:rsidP="00193324">
      <w:pPr>
        <w:spacing w:after="0"/>
      </w:pPr>
    </w:p>
    <w:p w:rsidR="00C043D6" w:rsidRPr="00193324" w:rsidRDefault="00C043D6" w:rsidP="00193324">
      <w:pPr>
        <w:spacing w:after="0"/>
        <w:ind w:firstLine="709"/>
        <w:rPr>
          <w:u w:val="single"/>
        </w:rPr>
      </w:pPr>
      <w:r w:rsidRPr="00193324">
        <w:rPr>
          <w:b/>
          <w:u w:val="single"/>
        </w:rPr>
        <w:t>2.2.</w:t>
      </w:r>
      <w:r w:rsidRPr="00193324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rPr>
          <w:b/>
          <w:u w:val="single"/>
        </w:rPr>
        <w:t>2.3.</w:t>
      </w:r>
      <w:r w:rsidRPr="00193324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обязан соблюдать правила охраны труда в соответствии с действующим законодательством РФ.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обязан соблюдать требования техники безопасности в соответствии с действующим законодательством РФ.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</w:t>
      </w:r>
      <w:r w:rsidR="00193324">
        <w:t xml:space="preserve">чик </w:t>
      </w:r>
      <w:r w:rsidRPr="00193324">
        <w:t>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Ответственность за нарушение перечисленных требований возлагается на Подрядчика.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t>Подрядчик обязан незамедлительно сообщать Заказчику об аварийных ситуациях на территории села Яренск, выявленных (допущенных) в ходе оказания работ.</w:t>
      </w:r>
    </w:p>
    <w:p w:rsidR="00C043D6" w:rsidRPr="00193324" w:rsidRDefault="00C043D6" w:rsidP="00193324">
      <w:pPr>
        <w:pStyle w:val="a7"/>
        <w:spacing w:after="0"/>
        <w:ind w:left="0" w:firstLine="709"/>
        <w:contextualSpacing w:val="0"/>
      </w:pPr>
      <w:r w:rsidRPr="00193324">
        <w:lastRenderedPageBreak/>
        <w:t>Подтверждение объемов фактически выполненных работ подтверждается путем совместного объезда представителей Подрядчик  и Заказчика. Результат фактически выполненных работ оформляется Актом выполненных работ.</w:t>
      </w:r>
    </w:p>
    <w:p w:rsidR="00C043D6" w:rsidRPr="00193324" w:rsidRDefault="00C043D6" w:rsidP="00193324">
      <w:pPr>
        <w:autoSpaceDE w:val="0"/>
        <w:spacing w:after="0"/>
        <w:ind w:firstLine="709"/>
        <w:rPr>
          <w:u w:val="single"/>
          <w:lang w:eastAsia="en-US" w:bidi="en-US"/>
        </w:rPr>
      </w:pPr>
      <w:r w:rsidRPr="00193324">
        <w:rPr>
          <w:b/>
          <w:u w:val="single"/>
        </w:rPr>
        <w:t>2.4.</w:t>
      </w:r>
      <w:r w:rsidRPr="00193324">
        <w:rPr>
          <w:u w:val="single"/>
        </w:rPr>
        <w:t xml:space="preserve"> </w:t>
      </w:r>
      <w:r w:rsidRPr="00193324">
        <w:rPr>
          <w:b/>
          <w:u w:val="single"/>
          <w:lang w:eastAsia="en-US" w:bidi="en-US"/>
        </w:rPr>
        <w:t>Условия выполнения работ:</w:t>
      </w:r>
    </w:p>
    <w:p w:rsidR="00C043D6" w:rsidRPr="00193324" w:rsidRDefault="00C043D6" w:rsidP="0019332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193324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C043D6" w:rsidRPr="00193324" w:rsidRDefault="00C043D6" w:rsidP="00193324">
      <w:pPr>
        <w:tabs>
          <w:tab w:val="left" w:pos="284"/>
        </w:tabs>
        <w:spacing w:after="0"/>
        <w:ind w:firstLine="709"/>
      </w:pPr>
      <w:r w:rsidRPr="00193324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C043D6" w:rsidRPr="00193324" w:rsidRDefault="00C043D6" w:rsidP="00193324">
      <w:pPr>
        <w:spacing w:after="0"/>
        <w:ind w:firstLine="709"/>
      </w:pPr>
      <w:r w:rsidRPr="00193324">
        <w:t>Выполнение работ производится Подрядчиком в полном соответствии</w:t>
      </w:r>
      <w:r w:rsidR="00193324">
        <w:t xml:space="preserve"> с данным техническим заданием,</w:t>
      </w:r>
      <w:r w:rsidRPr="00193324">
        <w:t xml:space="preserve"> сметной документацией, с соблюдением строительных норм и правил, ПУЭ, правил по ОТ, ППБ, </w:t>
      </w:r>
      <w:proofErr w:type="spellStart"/>
      <w:r w:rsidRPr="00193324">
        <w:t>СанПиН</w:t>
      </w:r>
      <w:proofErr w:type="spellEnd"/>
      <w:r w:rsidRPr="00193324">
        <w:t xml:space="preserve"> и охране окружающей среды.</w:t>
      </w:r>
    </w:p>
    <w:p w:rsidR="00C043D6" w:rsidRPr="00193324" w:rsidRDefault="00C043D6" w:rsidP="00193324">
      <w:pPr>
        <w:spacing w:after="0"/>
        <w:ind w:firstLine="709"/>
        <w:rPr>
          <w:b/>
          <w:u w:val="single"/>
        </w:rPr>
      </w:pPr>
      <w:r w:rsidRPr="00193324">
        <w:rPr>
          <w:b/>
          <w:u w:val="single"/>
        </w:rPr>
        <w:t>2.5. Требования к гарантийному сроку на выполненные работы:</w:t>
      </w:r>
    </w:p>
    <w:p w:rsidR="00C043D6" w:rsidRPr="00193324" w:rsidRDefault="00C043D6" w:rsidP="00193324">
      <w:pPr>
        <w:spacing w:after="0"/>
        <w:ind w:firstLine="709"/>
      </w:pPr>
      <w:r w:rsidRPr="00193324">
        <w:t>3 (три) года на выполненные работы с момента (дня) подписания сторонами акта приёмки полного объёма работ.</w:t>
      </w:r>
    </w:p>
    <w:p w:rsidR="00C043D6" w:rsidRPr="00193324" w:rsidRDefault="00C043D6" w:rsidP="00193324">
      <w:pPr>
        <w:spacing w:after="0"/>
        <w:ind w:firstLine="709"/>
      </w:pPr>
      <w:r w:rsidRPr="00193324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C043D6" w:rsidRPr="00193324" w:rsidRDefault="00C043D6" w:rsidP="00193324">
      <w:pPr>
        <w:spacing w:after="0"/>
        <w:ind w:firstLine="709"/>
      </w:pPr>
      <w:r w:rsidRPr="00193324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C043D6" w:rsidRPr="00193324" w:rsidRDefault="00C043D6" w:rsidP="00193324">
      <w:pPr>
        <w:spacing w:after="0"/>
        <w:ind w:firstLine="709"/>
      </w:pPr>
      <w:r w:rsidRPr="00193324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C043D6" w:rsidRPr="00193324" w:rsidRDefault="00C043D6" w:rsidP="00193324">
      <w:pPr>
        <w:spacing w:after="0"/>
        <w:ind w:firstLine="709"/>
      </w:pPr>
      <w:r w:rsidRPr="00193324">
        <w:t>Гарантийный срок в этом случае продлевается соответственно на период устранения дефектов.</w:t>
      </w:r>
    </w:p>
    <w:p w:rsidR="00C043D6" w:rsidRPr="00193324" w:rsidRDefault="00C043D6" w:rsidP="00193324">
      <w:pPr>
        <w:spacing w:after="0"/>
        <w:ind w:firstLine="709"/>
        <w:rPr>
          <w:b/>
        </w:rPr>
      </w:pPr>
      <w:r w:rsidRPr="00193324">
        <w:rPr>
          <w:b/>
          <w:u w:val="single"/>
        </w:rPr>
        <w:t>2.6.</w:t>
      </w:r>
      <w:r w:rsidRPr="00193324">
        <w:t xml:space="preserve"> </w:t>
      </w:r>
      <w:r w:rsidRPr="00193324">
        <w:rPr>
          <w:b/>
        </w:rPr>
        <w:t>Требования к результатам работ: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</w:rPr>
        <w:t xml:space="preserve">- </w:t>
      </w:r>
      <w:r w:rsidRPr="00193324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C043D6" w:rsidRPr="00193324" w:rsidRDefault="00C043D6" w:rsidP="00193324">
      <w:pPr>
        <w:spacing w:after="0"/>
        <w:ind w:firstLine="709"/>
      </w:pPr>
      <w:r w:rsidRPr="00193324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C043D6" w:rsidRPr="00193324" w:rsidRDefault="00C043D6" w:rsidP="00193324">
      <w:pPr>
        <w:spacing w:after="0"/>
        <w:ind w:firstLine="709"/>
      </w:pPr>
      <w:r w:rsidRPr="00193324">
        <w:rPr>
          <w:b/>
          <w:u w:val="single"/>
        </w:rPr>
        <w:t>2.7.</w:t>
      </w:r>
      <w:r w:rsidRPr="00193324">
        <w:t xml:space="preserve"> </w:t>
      </w:r>
      <w:r w:rsidRPr="00193324">
        <w:rPr>
          <w:b/>
        </w:rPr>
        <w:t>Требования к приемке работ:</w:t>
      </w:r>
    </w:p>
    <w:p w:rsidR="00C043D6" w:rsidRPr="00193324" w:rsidRDefault="00C043D6" w:rsidP="00193324">
      <w:pPr>
        <w:spacing w:after="0"/>
        <w:ind w:firstLine="709"/>
      </w:pPr>
      <w:r w:rsidRPr="00193324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C043D6" w:rsidRDefault="00C043D6" w:rsidP="00193324">
      <w:pPr>
        <w:spacing w:after="0"/>
        <w:ind w:firstLine="709"/>
      </w:pPr>
    </w:p>
    <w:p w:rsidR="00193324" w:rsidRPr="00193324" w:rsidRDefault="00193324" w:rsidP="00193324">
      <w:pPr>
        <w:spacing w:after="0"/>
        <w:ind w:firstLine="709"/>
      </w:pPr>
    </w:p>
    <w:p w:rsidR="00C043D6" w:rsidRPr="00193324" w:rsidRDefault="00C043D6" w:rsidP="00193324">
      <w:pPr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193324">
        <w:rPr>
          <w:b/>
          <w:u w:val="single"/>
        </w:rPr>
        <w:lastRenderedPageBreak/>
        <w:t>3. Требования к материалам, используемым для выполнения работ</w:t>
      </w:r>
    </w:p>
    <w:p w:rsidR="00C043D6" w:rsidRPr="00193324" w:rsidRDefault="00C043D6" w:rsidP="00193324">
      <w:pPr>
        <w:autoSpaceDE w:val="0"/>
        <w:autoSpaceDN w:val="0"/>
        <w:adjustRightInd w:val="0"/>
        <w:spacing w:after="0"/>
        <w:ind w:firstLine="709"/>
      </w:pPr>
      <w:r w:rsidRPr="00193324">
        <w:rPr>
          <w:b/>
          <w:u w:val="single"/>
        </w:rPr>
        <w:t>3.1</w:t>
      </w:r>
      <w:r w:rsidRPr="00193324">
        <w:t>. Подрядчик должен использовать качественные материалы, соответствующие государственным стандартам и техническим условиям. Материалы, испо</w:t>
      </w:r>
      <w:r w:rsidR="00193324">
        <w:t xml:space="preserve">льзуемые при выполнении работы </w:t>
      </w:r>
      <w:r w:rsidRPr="00193324">
        <w:t>должны иметь соответствующие сертификаты, технические паспорта или иные документы, удостоверяющие их качество.</w:t>
      </w:r>
    </w:p>
    <w:p w:rsidR="00C043D6" w:rsidRPr="00193324" w:rsidRDefault="00C043D6" w:rsidP="00193324">
      <w:pPr>
        <w:tabs>
          <w:tab w:val="left" w:pos="360"/>
        </w:tabs>
        <w:spacing w:after="0"/>
        <w:ind w:firstLine="709"/>
        <w:rPr>
          <w:b/>
        </w:rPr>
      </w:pPr>
      <w:r w:rsidRPr="00193324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193324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C043D6" w:rsidRPr="00193324" w:rsidRDefault="00C043D6" w:rsidP="00193324">
      <w:pPr>
        <w:tabs>
          <w:tab w:val="left" w:pos="360"/>
        </w:tabs>
        <w:spacing w:after="0"/>
        <w:ind w:firstLine="709"/>
      </w:pPr>
      <w:r w:rsidRPr="00193324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E975DE" w:rsidRPr="00193324" w:rsidRDefault="00E975DE" w:rsidP="00193324">
      <w:pPr>
        <w:spacing w:after="0"/>
        <w:rPr>
          <w:b/>
        </w:rPr>
      </w:pPr>
    </w:p>
    <w:sectPr w:rsidR="00E975DE" w:rsidRPr="00193324" w:rsidSect="00193324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D66" w:rsidRDefault="001A0D66" w:rsidP="003C316D">
      <w:pPr>
        <w:spacing w:after="0"/>
      </w:pPr>
      <w:r>
        <w:separator/>
      </w:r>
    </w:p>
  </w:endnote>
  <w:endnote w:type="continuationSeparator" w:id="0">
    <w:p w:rsidR="001A0D66" w:rsidRDefault="001A0D6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D66" w:rsidRDefault="001A0D66" w:rsidP="003C316D">
      <w:pPr>
        <w:spacing w:after="0"/>
      </w:pPr>
      <w:r>
        <w:separator/>
      </w:r>
    </w:p>
  </w:footnote>
  <w:footnote w:type="continuationSeparator" w:id="0">
    <w:p w:rsidR="001A0D66" w:rsidRDefault="001A0D6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93324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E33AB"/>
    <w:rsid w:val="00EF1B0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72</cp:revision>
  <cp:lastPrinted>2022-02-01T11:30:00Z</cp:lastPrinted>
  <dcterms:created xsi:type="dcterms:W3CDTF">2022-02-01T11:21:00Z</dcterms:created>
  <dcterms:modified xsi:type="dcterms:W3CDTF">2023-02-28T09:38:00Z</dcterms:modified>
</cp:coreProperties>
</file>