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679"/>
        <w:gridCol w:w="1889"/>
        <w:gridCol w:w="1272"/>
        <w:gridCol w:w="801"/>
        <w:gridCol w:w="1022"/>
        <w:gridCol w:w="3908"/>
      </w:tblGrid>
      <w:tr w:rsidR="002048F6" w:rsidRPr="0076214B" w:rsidTr="0076214B">
        <w:trPr>
          <w:trHeight w:val="390"/>
        </w:trPr>
        <w:tc>
          <w:tcPr>
            <w:tcW w:w="9345" w:type="dxa"/>
            <w:gridSpan w:val="6"/>
            <w:noWrap/>
            <w:hideMark/>
          </w:tcPr>
          <w:p w:rsidR="0076214B" w:rsidRPr="0076214B" w:rsidRDefault="00263741" w:rsidP="0076214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 № 2.1</w:t>
            </w:r>
          </w:p>
          <w:p w:rsidR="0076214B" w:rsidRPr="0076214B" w:rsidRDefault="00263741" w:rsidP="0076214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 </w:t>
            </w:r>
            <w:r w:rsidR="0076214B" w:rsidRPr="007621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распоряжению Администрации </w:t>
            </w:r>
          </w:p>
          <w:p w:rsidR="0076214B" w:rsidRPr="0076214B" w:rsidRDefault="0076214B" w:rsidP="0076214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«Ленский муниципальный район» </w:t>
            </w:r>
          </w:p>
          <w:p w:rsidR="002048F6" w:rsidRPr="0076214B" w:rsidRDefault="0076214B" w:rsidP="0076214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63741" w:rsidRPr="00263741">
              <w:rPr>
                <w:rFonts w:ascii="Times New Roman" w:hAnsi="Times New Roman" w:cs="Times New Roman"/>
                <w:bCs/>
                <w:sz w:val="20"/>
                <w:szCs w:val="20"/>
              </w:rPr>
              <w:t>от 28 ноября 2023 года № 370</w:t>
            </w:r>
          </w:p>
          <w:p w:rsidR="0076214B" w:rsidRPr="0076214B" w:rsidRDefault="0076214B" w:rsidP="007621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6214B" w:rsidRPr="0076214B" w:rsidRDefault="0076214B" w:rsidP="007621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Расчет начальной (максимальной) цены контракта на выполнение работ по осуществлению регулярных пассажирских перевозок автомобильным транспортом общего пользования по </w:t>
            </w:r>
            <w:r w:rsidR="00263741" w:rsidRPr="002637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регулируемым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  <w:p w:rsidR="0076214B" w:rsidRPr="0076214B" w:rsidRDefault="0076214B" w:rsidP="007621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048F6" w:rsidRPr="0076214B" w:rsidTr="0076214B">
        <w:trPr>
          <w:trHeight w:val="39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1" w:type="dxa"/>
            <w:gridSpan w:val="5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Маршрут № 121 </w:t>
            </w: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Яренск-Запань-Яреньга</w:t>
            </w:r>
            <w:proofErr w:type="spellEnd"/>
          </w:p>
        </w:tc>
      </w:tr>
      <w:tr w:rsidR="002048F6" w:rsidRPr="0076214B" w:rsidTr="0076214B">
        <w:trPr>
          <w:trHeight w:val="31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8F6" w:rsidRPr="0076214B" w:rsidTr="0076214B">
        <w:trPr>
          <w:trHeight w:val="61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0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Обозначение показателя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641" w:type="dxa"/>
            <w:gridSpan w:val="5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оплату труда водителей транспортных средств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водителей транспортных средств на 1 км пробега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Poтв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43,75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(12*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ЗПВi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ФРВв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)*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Ачti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proofErr w:type="gram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пз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Iптц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Lti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Количество месяцев в году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1.3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Средняя месячная оплата труда водителя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ЗПВi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73 082,50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СЗП*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Кзпi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для водителя*Км 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1.3.1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 крупных и средних предприятий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СЗП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63 550,00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фактическим данным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предриятий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за 2022г. </w:t>
            </w:r>
          </w:p>
        </w:tc>
      </w:tr>
      <w:tr w:rsidR="002048F6" w:rsidRPr="0076214B" w:rsidTr="0076214B">
        <w:trPr>
          <w:trHeight w:val="589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1.3.2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Коэффициент, учитывающий дифференциацию заработной платы водителей в зависимости от класса транспортного средства и вида маршрутов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Кзпi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 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принимается в соответствии с таблицей 1</w:t>
            </w:r>
          </w:p>
        </w:tc>
      </w:tr>
      <w:tr w:rsidR="002048F6" w:rsidRPr="0076214B" w:rsidTr="0076214B">
        <w:trPr>
          <w:trHeight w:val="619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1.3.3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 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применяется для городов только свыше миллиона человек</w:t>
            </w:r>
          </w:p>
        </w:tc>
      </w:tr>
      <w:tr w:rsidR="002048F6" w:rsidRPr="0076214B" w:rsidTr="0076214B">
        <w:trPr>
          <w:trHeight w:val="36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1.4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Планируемое количество часов работы транспортного средства в год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АЧti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час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на 1 год</w:t>
            </w:r>
          </w:p>
        </w:tc>
      </w:tr>
      <w:tr w:rsidR="002048F6" w:rsidRPr="0076214B" w:rsidTr="0076214B">
        <w:trPr>
          <w:trHeight w:val="118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1.5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Коэффициент, характеризующий продолжительность подготовительно-заключительного времени, времени 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прохождения предрейсовых инструктажей и медицинских осмотров водителя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Кпз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применяется в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соотвествии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с Приложением №1 к Порядку определения начально</w:t>
            </w:r>
            <w:proofErr w:type="gram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максимальной )цены контракта 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1.6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Iпц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Индекс потребительский цен из прогноза Минэкономразвития РФ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1.7 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Планируемый пробег транспортного средства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11 774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на 1 год</w:t>
            </w:r>
          </w:p>
        </w:tc>
      </w:tr>
      <w:tr w:rsidR="002048F6" w:rsidRPr="0076214B" w:rsidTr="0076214B">
        <w:trPr>
          <w:trHeight w:val="52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1.8 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Годовой фонд рабочего времени водителя автобуса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ФРВв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час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1 772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применяется в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соотвествии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с Приложением №1 к Порядку определения начально</w:t>
            </w:r>
            <w:proofErr w:type="gram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максимальной )цены контракта 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8641" w:type="dxa"/>
            <w:gridSpan w:val="5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Расходы на оплату труда </w:t>
            </w: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кодуктора</w:t>
            </w:r>
            <w:proofErr w:type="spellEnd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транспортного средства</w:t>
            </w:r>
          </w:p>
        </w:tc>
      </w:tr>
      <w:tr w:rsidR="002048F6" w:rsidRPr="0076214B" w:rsidTr="0076214B">
        <w:trPr>
          <w:trHeight w:val="61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кондукторов на 1 км пробега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Poтк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РОТКti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РОТВti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kбил</w:t>
            </w:r>
            <w:proofErr w:type="spellEnd"/>
          </w:p>
        </w:tc>
      </w:tr>
      <w:tr w:rsidR="002048F6" w:rsidRPr="0076214B" w:rsidTr="0076214B">
        <w:trPr>
          <w:trHeight w:val="189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Коэффициент, учитывающий затраты на оплату труда водителя, совмещающего обязанности кондуктора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kбил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если контрактом предусматривается возложение на водителя обязанности кондуктора в отсутствии автоматизированной системы оплаты проезда, принимается равным 0,3; если контрактом предусматривается возложение на водителя обязанности кондуктора при наличии автоматизированной системы оплаты проезда, принимается равным 0,05</w:t>
            </w:r>
          </w:p>
        </w:tc>
      </w:tr>
      <w:tr w:rsidR="002048F6" w:rsidRPr="0076214B" w:rsidTr="0076214B">
        <w:trPr>
          <w:trHeight w:val="33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8641" w:type="dxa"/>
            <w:gridSpan w:val="5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Отчисления на социальные нужды водителей и кондукторов транспортных средств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Отчисления на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нужды от оплаты труда водителей и кондукторов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Сpti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13,21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СРti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= 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РОТВti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РОТКti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(СТС / 100)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3.1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водителей на 1 км пробега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Poтв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43,75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349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3.2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кондукторов на 1 км пробега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Poтк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372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3.3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Суммарный тариф отчислений на социальные нужды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Стс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30 % + 0,2 % первый класс профессионального риска, %</w:t>
            </w:r>
          </w:p>
        </w:tc>
      </w:tr>
      <w:tr w:rsidR="002048F6" w:rsidRPr="0076214B" w:rsidTr="0076214B">
        <w:trPr>
          <w:trHeight w:val="33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8641" w:type="dxa"/>
            <w:gridSpan w:val="5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топливо для транспортных средств</w:t>
            </w:r>
          </w:p>
        </w:tc>
      </w:tr>
      <w:tr w:rsidR="002048F6" w:rsidRPr="0076214B" w:rsidTr="0076214B">
        <w:trPr>
          <w:trHeight w:val="36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топливо на 1 км пробега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9,910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РТti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ЦТi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Нsi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/ 100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(1 + 0,01 x D) + 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НОТi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Vэ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Nз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/ 12))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Iтt</w:t>
            </w:r>
            <w:proofErr w:type="spellEnd"/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4.1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Цена 1 л топлива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Цтi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61,42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цена за 1 л. дизельного топлива </w:t>
            </w:r>
          </w:p>
        </w:tc>
      </w:tr>
      <w:tr w:rsidR="002048F6" w:rsidRPr="0076214B" w:rsidTr="0076214B">
        <w:trPr>
          <w:trHeight w:val="229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4.2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Транспортная норма расхода топлива на пробег автобуса в расчете на 100 км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Нsi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л/ 100 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14,20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принимается равным не менее: для автобусов особо малого класса - 14,5 (бензин АИ-92),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малого класса -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17,0 (бензин АИ-92); - 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14,2  (дизельное топливо, не более 22 мест)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, для автобусов среднего класса - 29,6 (дизельное топливо), для автобусов большого класса - 39,8 (дизельное топливо), для автобусов особо большого класса - 47,5 (дизельное топливо) Таблица 2 Порядка</w:t>
            </w:r>
          </w:p>
        </w:tc>
      </w:tr>
      <w:tr w:rsidR="002048F6" w:rsidRPr="0076214B" w:rsidTr="0076214B">
        <w:trPr>
          <w:trHeight w:val="205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4.3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Поправочный коэффициент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определяется в соответствии с п.40 Инструкции по учету доходов и расходов по обычным видам деятельности на автотранспорте, утвержденной  приказом Минтранса России от 24.06.2003 № 153.                                                                          Транспортная норма в литрах на 100 км (л/100 км) пробега при проведении транспортной работы: автобуса, где учитывается снаряженная масса и нормируемая по назначению автобуса номинальная загрузка пассажиров</w:t>
            </w:r>
          </w:p>
        </w:tc>
      </w:tr>
      <w:tr w:rsidR="002048F6" w:rsidRPr="0076214B" w:rsidTr="0076214B">
        <w:trPr>
          <w:trHeight w:val="9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4.4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Норма расхода топлива на работу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отопителей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салона 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НОТi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л/ч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для автобусов особо малого и малого класса -0; для автобусов среднего класса -2,5;для автобусов большого и особо большого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класов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-3,5;</w:t>
            </w:r>
          </w:p>
        </w:tc>
      </w:tr>
      <w:tr w:rsidR="002048F6" w:rsidRPr="0076214B" w:rsidTr="0076214B">
        <w:trPr>
          <w:trHeight w:val="33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4.5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Планируемая в соответствии с расписанием эксплуатационная скорость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Vэ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км/ч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54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4.6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Принимаемое в соответствии с условиями контракта количество месяцев работы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отопителя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салона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Nз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 января по май, с сентября по декабрь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4.7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Индекс цен производителей нефтепродуктов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Tt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Индекс цен производителей нефтепродуктов из прогноза Минэкономразвития РФ </w:t>
            </w:r>
          </w:p>
        </w:tc>
      </w:tr>
      <w:tr w:rsidR="002048F6" w:rsidRPr="0076214B" w:rsidTr="0076214B">
        <w:trPr>
          <w:trHeight w:val="33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8641" w:type="dxa"/>
            <w:gridSpan w:val="5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смазочные материалы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CMti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0,743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0,075*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tti</w:t>
            </w:r>
            <w:proofErr w:type="spellEnd"/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5.1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топливо на 1 км пробега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9,910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определено в пункте 4 расходы на топливо на 1 км пробега</w:t>
            </w:r>
          </w:p>
        </w:tc>
      </w:tr>
      <w:tr w:rsidR="002048F6" w:rsidRPr="0076214B" w:rsidTr="0076214B">
        <w:trPr>
          <w:trHeight w:val="33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8641" w:type="dxa"/>
            <w:gridSpan w:val="5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износ и ремонт шин транспортных средств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износ и ремонт шин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шti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шi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мt</w:t>
            </w:r>
            <w:proofErr w:type="spellEnd"/>
          </w:p>
        </w:tc>
      </w:tr>
      <w:tr w:rsidR="002048F6" w:rsidRPr="0076214B" w:rsidTr="0076214B">
        <w:trPr>
          <w:trHeight w:val="15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6.1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Базовые удельные расходы на шины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шi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порядку для автобусов особо малого класса принимаются равными не менее 0,15, 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малого класса - не менее 0,28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, для автобусов среднего класса - не менее 0,66, для автобусов большого класса - не менее 0,84, для автобусов особо большого класса - не менее 0,94</w:t>
            </w:r>
          </w:p>
        </w:tc>
      </w:tr>
      <w:tr w:rsidR="002048F6" w:rsidRPr="0076214B" w:rsidTr="0076214B">
        <w:trPr>
          <w:trHeight w:val="912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6.2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Индекс цен на машины и оборудование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мt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произведение индекса цен машин и оборудования по данным Росстата на прогнозный индекс цен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определяемыйМинэком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РФ в прогнозе социально-экономического развития</w:t>
            </w:r>
          </w:p>
        </w:tc>
      </w:tr>
      <w:tr w:rsidR="002048F6" w:rsidRPr="0076214B" w:rsidTr="0076214B">
        <w:trPr>
          <w:trHeight w:val="33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VII</w:t>
            </w:r>
          </w:p>
        </w:tc>
        <w:tc>
          <w:tcPr>
            <w:tcW w:w="8641" w:type="dxa"/>
            <w:gridSpan w:val="5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техническое обслуживание и ремонт транспортных средств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 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ТО и ремонт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TOti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13,77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ФОТррi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РЗЧti</w:t>
            </w:r>
            <w:proofErr w:type="spellEnd"/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ремонтных рабочих с 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отчислениями на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нужды (11)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ФОТppi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9,52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ФОТррi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= (12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ЗПР /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ФРВрр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Iпцt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ТТi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КТо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Трi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Ккр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0,001 x (1 + СТС / 100)</w:t>
            </w:r>
          </w:p>
        </w:tc>
      </w:tr>
      <w:tr w:rsidR="002048F6" w:rsidRPr="0076214B" w:rsidTr="0076214B">
        <w:trPr>
          <w:trHeight w:val="69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7.1.1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Коэффициент приведения базовой удельной трудоемкости технического обслуживания и ремонта транспортных средств к 1 км пробега</w:t>
            </w:r>
          </w:p>
        </w:tc>
        <w:tc>
          <w:tcPr>
            <w:tcW w:w="1196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59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364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7.1.2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Количество месяцев в году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4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69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7.1.3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корректировки базовой удельной трудоемкости технического обслуживания автобусов в зависимости от природно-климатических условий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Кто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3643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принимается в соответствии с таблицей 3 Порядка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7.1.4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Iпц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Индекс потребительский цен из прогноза Минэкономразвития РФ</w:t>
            </w:r>
          </w:p>
        </w:tc>
      </w:tr>
      <w:tr w:rsidR="002048F6" w:rsidRPr="0076214B" w:rsidTr="0076214B">
        <w:trPr>
          <w:trHeight w:val="330"/>
        </w:trPr>
        <w:tc>
          <w:tcPr>
            <w:tcW w:w="704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Средняя месячная оплата труда ремонтного рабочего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ЗПР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63 550,00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СЗП*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зпi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для ремонтного рабочего*К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м 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(12)</w:t>
            </w:r>
          </w:p>
        </w:tc>
      </w:tr>
      <w:tr w:rsidR="002048F6" w:rsidRPr="0076214B" w:rsidTr="0076214B">
        <w:trPr>
          <w:trHeight w:val="102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7.2.1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 ближайший истекший отчетный период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СЗП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63 550,00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фактическим данным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предриятий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за 2022г. 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7.2.2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Коэффициент, учитывающий дифференциацию в оплате труда ремонтных рабочих в зависимости от вида маршрута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зп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принимается в соответствии с таблицей 1 Порядка</w:t>
            </w:r>
          </w:p>
        </w:tc>
      </w:tr>
      <w:tr w:rsidR="002048F6" w:rsidRPr="0076214B" w:rsidTr="0076214B">
        <w:trPr>
          <w:trHeight w:val="66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7.2.3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 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применяется для городов только свыше миллиона человек</w:t>
            </w:r>
          </w:p>
        </w:tc>
      </w:tr>
      <w:tr w:rsidR="002048F6" w:rsidRPr="0076214B" w:rsidTr="0076214B">
        <w:trPr>
          <w:trHeight w:val="1519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7.3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Базовая удельная трудоемкость технического обслуживания транспортных средств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Ттi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порядку для автобусов особо малого класса принимаются равной не менее 5,9, 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малого класса - не менее 8,0,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для автобусов среднего класса - не менее 9,3, для автобусов большого класса - не менее 13,3, для автобусов особо большого класса - не менее 19,1</w:t>
            </w:r>
          </w:p>
        </w:tc>
      </w:tr>
      <w:tr w:rsidR="002048F6" w:rsidRPr="0076214B" w:rsidTr="0076214B">
        <w:trPr>
          <w:trHeight w:val="159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7.5 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Базовая удельная трудоемкость текущего ремонта ТС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порядку для автобусов особо малого класса принимаются равной не менее 5,4, 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малого класса - не мен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ее 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, для автобусов среднего класса - не менее 7,8, для автобусов большого класса - не менее 10,2, для автобусов особо большого класса - не менее 13,2</w:t>
            </w:r>
          </w:p>
        </w:tc>
      </w:tr>
      <w:tr w:rsidR="002048F6" w:rsidRPr="0076214B" w:rsidTr="0076214B">
        <w:trPr>
          <w:trHeight w:val="69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7.6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Коэффициент корректировки базовой удельной трудоемкости текущего ремонта автобусов в зависимости от природно-климатических условий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Ккр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принимается в соответствии с таблицей 3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7.7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Годовой фонд рабочего времени ремонтного рабочего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ФРВрр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1 812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применяется в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соотвествии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с Приложением №1 к Порядку определения начально</w:t>
            </w:r>
            <w:proofErr w:type="gram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максимальной )цены контракта 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7.8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Сумарный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тариф отчислений на социальные нужды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Стс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30 % + 0,2 % первый класс профессионального риска, %</w:t>
            </w:r>
          </w:p>
        </w:tc>
      </w:tr>
      <w:tr w:rsidR="002048F6" w:rsidRPr="0076214B" w:rsidTr="0076214B">
        <w:trPr>
          <w:trHeight w:val="732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7.9 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запасные части и материалы, используемые при ТО и ремонте транспортных средств (13)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ЗЧti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4,24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зчi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км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зч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мt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48F6" w:rsidRPr="0076214B" w:rsidTr="0076214B">
        <w:trPr>
          <w:trHeight w:val="15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7.9.1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Базовые удельные расходы на запчасти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Узчi</w:t>
            </w:r>
            <w:proofErr w:type="spellEnd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км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порядку для автобусов особо малого класса принимаются равными не менее 2,2, 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малого класса - не менее 3,2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, для автобусов среднего класса - не менее 3,6, для автобусов большого класса - не менее 6,4, для автобусов особо большого класса - не менее 8,6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7.9.2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корректировки базовых удельных расходов на запасные части и материалы в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зависимотси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от природно-климатических условия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Кзч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из таблицы 3 порядка</w:t>
            </w:r>
          </w:p>
        </w:tc>
      </w:tr>
      <w:tr w:rsidR="002048F6" w:rsidRPr="0076214B" w:rsidTr="0076214B">
        <w:trPr>
          <w:trHeight w:val="9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7.9.2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Индекс цен на машины и оборудование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мt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произведение индекса цен машин и оборудования по данным Росстата на прогнозный индекс </w:t>
            </w:r>
            <w:proofErr w:type="gram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цен</w:t>
            </w:r>
            <w:proofErr w:type="gram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определяемый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Минэком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РФ в прогнозе социально-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экономического развития</w:t>
            </w:r>
          </w:p>
        </w:tc>
      </w:tr>
      <w:tr w:rsidR="002048F6" w:rsidRPr="0076214B" w:rsidTr="0076214B">
        <w:trPr>
          <w:trHeight w:val="33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VIII</w:t>
            </w:r>
          </w:p>
        </w:tc>
        <w:tc>
          <w:tcPr>
            <w:tcW w:w="8641" w:type="dxa"/>
            <w:gridSpan w:val="5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расходы по обычным видам деятельности в сумме с косвенными расходами для транспортных средств (14)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расходы по обычным видам деятельности в сумме с косвенными расходами для транспортных средств </w:t>
            </w:r>
          </w:p>
        </w:tc>
        <w:tc>
          <w:tcPr>
            <w:tcW w:w="1196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ПКРti</w:t>
            </w:r>
            <w:proofErr w:type="spellEnd"/>
          </w:p>
        </w:tc>
        <w:tc>
          <w:tcPr>
            <w:tcW w:w="759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18,66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ПКРti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Кпр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РТti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РСМti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РШti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РТОti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8.1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суммы прочих расходов по обычным видам деятельности и косвенных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расхдов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к переменным расходам</w:t>
            </w:r>
          </w:p>
        </w:tc>
        <w:tc>
          <w:tcPr>
            <w:tcW w:w="1196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Кпр</w:t>
            </w:r>
            <w:proofErr w:type="spellEnd"/>
          </w:p>
        </w:tc>
        <w:tc>
          <w:tcPr>
            <w:tcW w:w="759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доля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из таблицы 4 порядка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8.2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топливо на 1 км пробега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9,910</w:t>
            </w:r>
          </w:p>
        </w:tc>
        <w:tc>
          <w:tcPr>
            <w:tcW w:w="364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8.3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CMti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364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8.4 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Расходы на износ и ремонт шин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шti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364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8.5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ТО и ремонт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TOti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13,768</w:t>
            </w:r>
          </w:p>
        </w:tc>
        <w:tc>
          <w:tcPr>
            <w:tcW w:w="364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33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IX</w:t>
            </w:r>
          </w:p>
        </w:tc>
        <w:tc>
          <w:tcPr>
            <w:tcW w:w="8641" w:type="dxa"/>
            <w:gridSpan w:val="5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Максимальная себестоимость 1 км пробега транспортных средств за год контракта (1)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себестоимость 1 км пробега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100,34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Poтвti+Poткt+Сpti+Ptti+P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CMti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+P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шti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+P</w:t>
            </w:r>
            <w:r w:rsidRPr="007621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TOti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+ПКРti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(1)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8F6" w:rsidRPr="0076214B" w:rsidTr="0076214B">
        <w:trPr>
          <w:trHeight w:val="390"/>
        </w:trPr>
        <w:tc>
          <w:tcPr>
            <w:tcW w:w="9345" w:type="dxa"/>
            <w:gridSpan w:val="6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Определение начальной (максимальной) цены контракта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3" w:type="dxa"/>
            <w:noWrap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8F6" w:rsidRPr="00263741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Максимальная стоимость работы транспортного средства (7.1)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323 833,76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*R*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/B)+Mi*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Крсс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 w:type="page"/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Imot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*r/(12*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2048F6" w:rsidRPr="0076214B" w:rsidTr="0076214B">
        <w:trPr>
          <w:trHeight w:val="34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себестоимость 1 км пробега (1)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100,34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10.2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Уровень рентабельности, обеспечивающий экономически устойчивую деятельности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доля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1,096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применяется в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соотвествии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с Порядком 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10.3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Планируемый пробег транспортного средства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Lti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2 679,6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на период действия контракта в 2024 году</w:t>
            </w:r>
          </w:p>
        </w:tc>
      </w:tr>
      <w:tr w:rsidR="002048F6" w:rsidRPr="0076214B" w:rsidTr="0076214B">
        <w:trPr>
          <w:trHeight w:val="9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10.4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использования пробега 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Принимают значения, равные 0,9 при перевозках в городском сообщении, </w:t>
            </w: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0,91 - в пригородном сообщении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и 0,95 - в междугородном сообщении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10.5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повышения расходов на обновление подвижного состава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Крсс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для других видов транспорта - 1,0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10.6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Минимальное количество транспортных средств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ед.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количество единиц транспортных средств, используемых на маршруте</w:t>
            </w:r>
          </w:p>
        </w:tc>
      </w:tr>
      <w:tr w:rsidR="002048F6" w:rsidRPr="0076214B" w:rsidTr="0076214B">
        <w:trPr>
          <w:trHeight w:val="9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10.7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Средняя рыночная стоимость транспортных средств (8.1)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определяется как среднеарифметическое значение цен, указанных в полученных по запросу заказчика ответах поставщиков данных транспортных средств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10.8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Срок полезного использования транспортных средств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Тni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лет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принимается в соответствии с таблицей 1</w:t>
            </w:r>
          </w:p>
        </w:tc>
      </w:tr>
      <w:tr w:rsidR="002048F6" w:rsidRPr="0076214B" w:rsidTr="0076214B">
        <w:trPr>
          <w:trHeight w:val="9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10.9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Индекс цен на машины и оборудования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Imot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принимается равным прогнозному индексу цен производителей машин и оборудования, определяемому определяемый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Минэком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РФ в прогнозе социально-экономического развития</w:t>
            </w:r>
          </w:p>
        </w:tc>
      </w:tr>
      <w:tr w:rsidR="002048F6" w:rsidRPr="0076214B" w:rsidTr="0076214B">
        <w:trPr>
          <w:trHeight w:val="3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Общее количество месяцев исполнения контрактов, в том числе неполных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на период действия контракта в 2024 году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10.11</w:t>
            </w:r>
          </w:p>
        </w:tc>
        <w:tc>
          <w:tcPr>
            <w:tcW w:w="1980" w:type="dxa"/>
            <w:hideMark/>
          </w:tcPr>
          <w:p w:rsidR="002048F6" w:rsidRPr="0076214B" w:rsidRDefault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Фактический пробег транспортных средств в течение периода не менее 12 месяцев, предшествующего дате начала проведения расчетов НМЦК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Ljoi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2 923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10.12</w:t>
            </w:r>
          </w:p>
        </w:tc>
        <w:tc>
          <w:tcPr>
            <w:tcW w:w="1980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Планируемый пробег, приведенный по вместимости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ПВjt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место-км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46 771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Ljti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*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</w:p>
        </w:tc>
      </w:tr>
      <w:tr w:rsidR="002048F6" w:rsidRPr="0076214B" w:rsidTr="0076214B">
        <w:trPr>
          <w:trHeight w:val="60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10.13</w:t>
            </w:r>
          </w:p>
        </w:tc>
        <w:tc>
          <w:tcPr>
            <w:tcW w:w="1980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Фактический пробег, приведенный по вместимости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ПВjo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место-км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46 771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Ljoi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*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</w:p>
        </w:tc>
      </w:tr>
      <w:tr w:rsidR="002048F6" w:rsidRPr="0076214B" w:rsidTr="0076214B">
        <w:trPr>
          <w:trHeight w:val="91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10.14</w:t>
            </w:r>
          </w:p>
        </w:tc>
        <w:tc>
          <w:tcPr>
            <w:tcW w:w="1980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Планируемая плата за проезд пассажиров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183 690,68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∑(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Пjо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ПВjt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Пвjo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br/>
              <w:t>∑(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Пjо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br/>
              <w:t>∑(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48F6" w:rsidRPr="0076214B" w:rsidTr="0076214B">
        <w:trPr>
          <w:trHeight w:val="930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10.15</w:t>
            </w:r>
          </w:p>
        </w:tc>
        <w:tc>
          <w:tcPr>
            <w:tcW w:w="1980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Индекс изменения тарифов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Если изменялся тариф указывается коэффициент фактического изменения тарифа</w:t>
            </w:r>
          </w:p>
        </w:tc>
      </w:tr>
      <w:tr w:rsidR="002048F6" w:rsidRPr="0076214B" w:rsidTr="0076214B">
        <w:trPr>
          <w:trHeight w:val="552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10.16</w:t>
            </w:r>
          </w:p>
        </w:tc>
        <w:tc>
          <w:tcPr>
            <w:tcW w:w="1980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Сoi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подрядчика, связанные с приобретением и установкой в транспортных средствах i-го класса оборудования и программного обеспечения для использования информационной системы навигации, оборудования для организации автоматизированной системы контроля за оплатой проезда, а также плановые </w:t>
            </w: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их эксплуатацию и (или) оплату услуг операторов информационной системы навигации и автоматизированной системы контроля за оплатой проезда в случае, если контрактом предусмотрено, что приобретение, установка и эксплуатация такого оборудования и (или) оплата услуг таких операторов осуществляется за счет подрядчика, руб.;</w:t>
            </w:r>
          </w:p>
        </w:tc>
      </w:tr>
      <w:tr w:rsidR="002048F6" w:rsidRPr="0076214B" w:rsidTr="0076214B">
        <w:trPr>
          <w:trHeight w:val="58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10.17</w:t>
            </w:r>
          </w:p>
        </w:tc>
        <w:tc>
          <w:tcPr>
            <w:tcW w:w="1980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Ссуб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размер субсидий, которые будут предоставлены подрядчику в соответствии с нормативным правовым актом субъекта Российской Федерации, муниципальным нормативным правовым актом, принятыми в соответствии с Бюджетным кодексом Российской Федерации &lt;2&gt;,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работ, руб. </w:t>
            </w:r>
          </w:p>
        </w:tc>
      </w:tr>
      <w:tr w:rsidR="002048F6" w:rsidRPr="0076214B" w:rsidTr="0076214B">
        <w:trPr>
          <w:trHeight w:val="55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10.18</w:t>
            </w:r>
          </w:p>
        </w:tc>
        <w:tc>
          <w:tcPr>
            <w:tcW w:w="1980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коэффициент, учитывающий расходы на оплату услуг автовокзалов и автостанций (в случае, если контрактом предусматривается использование одного или нескольких остановочных пунктов, расположенных на территории автовокзала или автостанции, принимается равным 1,1, во всех прочих случаях принимается равным 1,0)</w:t>
            </w:r>
          </w:p>
        </w:tc>
      </w:tr>
      <w:tr w:rsidR="002048F6" w:rsidRPr="0076214B" w:rsidTr="0076214B">
        <w:trPr>
          <w:trHeight w:val="495"/>
        </w:trPr>
        <w:tc>
          <w:tcPr>
            <w:tcW w:w="704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10.19</w:t>
            </w:r>
          </w:p>
        </w:tc>
        <w:tc>
          <w:tcPr>
            <w:tcW w:w="1980" w:type="dxa"/>
            <w:noWrap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НМЦК</w:t>
            </w:r>
          </w:p>
        </w:tc>
        <w:tc>
          <w:tcPr>
            <w:tcW w:w="759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140143,08</w:t>
            </w:r>
          </w:p>
        </w:tc>
        <w:tc>
          <w:tcPr>
            <w:tcW w:w="3643" w:type="dxa"/>
            <w:hideMark/>
          </w:tcPr>
          <w:p w:rsidR="002048F6" w:rsidRPr="0076214B" w:rsidRDefault="002048F6" w:rsidP="00204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Сoi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7621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-С </w:t>
            </w:r>
            <w:proofErr w:type="spell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суб</w:t>
            </w:r>
            <w:proofErr w:type="spellEnd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7621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</w:tbl>
    <w:p w:rsidR="00AC0844" w:rsidRPr="0076214B" w:rsidRDefault="00C304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Расчет составлен 23.11.2023г.</w:t>
      </w:r>
      <w:bookmarkStart w:id="0" w:name="_GoBack"/>
      <w:bookmarkEnd w:id="0"/>
    </w:p>
    <w:sectPr w:rsidR="00AC0844" w:rsidRPr="0076214B" w:rsidSect="00737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844"/>
    <w:rsid w:val="002048F6"/>
    <w:rsid w:val="00263741"/>
    <w:rsid w:val="00737C6E"/>
    <w:rsid w:val="0076214B"/>
    <w:rsid w:val="00AC0844"/>
    <w:rsid w:val="00C3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48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2097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Пользователь Windows</cp:lastModifiedBy>
  <cp:revision>4</cp:revision>
  <dcterms:created xsi:type="dcterms:W3CDTF">2023-11-27T13:24:00Z</dcterms:created>
  <dcterms:modified xsi:type="dcterms:W3CDTF">2023-11-28T08:33:00Z</dcterms:modified>
</cp:coreProperties>
</file>