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172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17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172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717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717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172">
        <w:rPr>
          <w:rFonts w:ascii="Times New Roman" w:hAnsi="Times New Roman" w:cs="Times New Roman"/>
          <w:sz w:val="28"/>
          <w:szCs w:val="28"/>
        </w:rPr>
        <w:t xml:space="preserve">от </w:t>
      </w:r>
      <w:r w:rsidR="006B742E">
        <w:rPr>
          <w:rFonts w:ascii="Times New Roman" w:hAnsi="Times New Roman" w:cs="Times New Roman"/>
          <w:sz w:val="28"/>
          <w:szCs w:val="28"/>
        </w:rPr>
        <w:t>15</w:t>
      </w:r>
      <w:r w:rsidR="0042717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27172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427172">
        <w:rPr>
          <w:rFonts w:ascii="Times New Roman" w:hAnsi="Times New Roman" w:cs="Times New Roman"/>
          <w:sz w:val="28"/>
          <w:szCs w:val="28"/>
        </w:rPr>
        <w:t xml:space="preserve"> </w:t>
      </w:r>
      <w:r w:rsidR="006B742E" w:rsidRPr="006B742E">
        <w:rPr>
          <w:rFonts w:ascii="Times New Roman" w:hAnsi="Times New Roman" w:cs="Times New Roman"/>
          <w:sz w:val="28"/>
          <w:szCs w:val="28"/>
        </w:rPr>
        <w:t>199-н</w:t>
      </w: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AF" w:rsidRPr="00427172" w:rsidRDefault="00005DAF" w:rsidP="0042717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7172">
        <w:rPr>
          <w:rFonts w:ascii="Times New Roman" w:hAnsi="Times New Roman" w:cs="Times New Roman"/>
          <w:szCs w:val="28"/>
        </w:rPr>
        <w:t>с. Яренск</w:t>
      </w:r>
    </w:p>
    <w:p w:rsidR="00427172" w:rsidRPr="00427172" w:rsidRDefault="00427172" w:rsidP="00427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172" w:rsidRDefault="00562940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етодики</w:t>
      </w:r>
      <w:r w:rsid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нормативных затрат</w:t>
      </w:r>
    </w:p>
    <w:p w:rsidR="00562940" w:rsidRPr="00427172" w:rsidRDefault="00562940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</w:t>
      </w:r>
      <w:r w:rsidR="00005DAF"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по реализации дополнительных общеобразовательных </w:t>
      </w:r>
      <w:proofErr w:type="spellStart"/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общеразвивающих</w:t>
      </w:r>
      <w:proofErr w:type="spellEnd"/>
      <w:r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в рамках системы персонифицированного финансирования дополнительного образования детей </w:t>
      </w:r>
      <w:r w:rsidR="00005DAF" w:rsidRPr="0042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муниципальный район»</w:t>
      </w:r>
    </w:p>
    <w:p w:rsidR="00427172" w:rsidRDefault="00427172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2" w:rsidRDefault="00562940" w:rsidP="00427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федерального проекта 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N 10, Паспорта приоритетного проекта "Доступное дополнительное образование для детей", утвержденного протоколом президиума Совета при Президенте Российской Федерации по стратегическому развитию и национальным проектам от 30 ноября 2016 года</w:t>
      </w:r>
      <w:proofErr w:type="gramEnd"/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11, </w:t>
      </w:r>
      <w:r w:rsidR="0084724F" w:rsidRPr="00427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E53843" w:rsidRPr="00427172">
        <w:rPr>
          <w:rFonts w:ascii="Times New Roman" w:hAnsi="Times New Roman" w:cs="Times New Roman"/>
          <w:sz w:val="28"/>
          <w:szCs w:val="28"/>
        </w:rPr>
        <w:t>р</w:t>
      </w:r>
      <w:r w:rsidR="0084724F" w:rsidRPr="00427172">
        <w:rPr>
          <w:rFonts w:ascii="Times New Roman" w:hAnsi="Times New Roman" w:cs="Times New Roman"/>
          <w:sz w:val="28"/>
          <w:szCs w:val="28"/>
        </w:rPr>
        <w:t>аспоряжени</w:t>
      </w:r>
      <w:r w:rsidR="00E53843" w:rsidRPr="00427172">
        <w:rPr>
          <w:rFonts w:ascii="Times New Roman" w:hAnsi="Times New Roman" w:cs="Times New Roman"/>
          <w:sz w:val="28"/>
          <w:szCs w:val="28"/>
        </w:rPr>
        <w:t>я</w:t>
      </w:r>
      <w:r w:rsidR="0084724F" w:rsidRPr="0042717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 июля 2019 года </w:t>
      </w:r>
      <w:r w:rsidR="00427172">
        <w:rPr>
          <w:rFonts w:ascii="Times New Roman" w:hAnsi="Times New Roman" w:cs="Times New Roman"/>
          <w:sz w:val="28"/>
          <w:szCs w:val="28"/>
        </w:rPr>
        <w:t xml:space="preserve">       </w:t>
      </w:r>
      <w:r w:rsidR="0084724F" w:rsidRPr="00427172">
        <w:rPr>
          <w:rFonts w:ascii="Times New Roman" w:hAnsi="Times New Roman" w:cs="Times New Roman"/>
          <w:sz w:val="28"/>
          <w:szCs w:val="28"/>
        </w:rPr>
        <w:t>№ 296-рп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724F" w:rsidRPr="00427172">
        <w:rPr>
          <w:rFonts w:ascii="Times New Roman" w:hAnsi="Times New Roman" w:cs="Times New Roman"/>
          <w:sz w:val="28"/>
          <w:szCs w:val="28"/>
        </w:rPr>
        <w:t xml:space="preserve">О концепции </w:t>
      </w:r>
      <w:proofErr w:type="gramStart"/>
      <w:r w:rsidR="0084724F" w:rsidRPr="00427172">
        <w:rPr>
          <w:rFonts w:ascii="Times New Roman" w:hAnsi="Times New Roman" w:cs="Times New Roman"/>
          <w:sz w:val="28"/>
          <w:szCs w:val="28"/>
        </w:rPr>
        <w:t>внедрения целевой модели развития региональной системы дополнительного образования детей</w:t>
      </w:r>
      <w:proofErr w:type="gramEnd"/>
      <w:r w:rsidR="0084724F" w:rsidRPr="00427172">
        <w:rPr>
          <w:rFonts w:ascii="Times New Roman" w:hAnsi="Times New Roman" w:cs="Times New Roman"/>
          <w:sz w:val="28"/>
          <w:szCs w:val="28"/>
        </w:rPr>
        <w:t xml:space="preserve"> в Архангельской области в 2020 – 2022 годах</w:t>
      </w:r>
      <w:r w:rsidR="00427172">
        <w:rPr>
          <w:rFonts w:ascii="Times New Roman" w:hAnsi="Times New Roman" w:cs="Times New Roman"/>
          <w:sz w:val="28"/>
          <w:szCs w:val="28"/>
        </w:rPr>
        <w:t>»</w:t>
      </w:r>
      <w:r w:rsidR="0084724F" w:rsidRPr="00427172">
        <w:rPr>
          <w:rFonts w:ascii="Times New Roman" w:hAnsi="Times New Roman" w:cs="Times New Roman"/>
          <w:sz w:val="28"/>
          <w:szCs w:val="28"/>
        </w:rPr>
        <w:t xml:space="preserve">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 w:rsid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муниципальный район»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62940" w:rsidRPr="00427172" w:rsidRDefault="00562940" w:rsidP="00427172">
      <w:pPr>
        <w:pStyle w:val="aa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етодику определения нормативных затрат на оказание </w:t>
      </w:r>
      <w:r w:rsidR="00E53843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427172" w:rsidRPr="00427172" w:rsidRDefault="00562940" w:rsidP="00427172">
      <w:pPr>
        <w:pStyle w:val="aa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использовать данную методику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образования Администрации МО «Ленский муниципальный район»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</w:t>
      </w:r>
      <w:r w:rsidR="0084724F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дополнительные общеобразовательные </w:t>
      </w:r>
      <w:proofErr w:type="spellStart"/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</w:t>
      </w:r>
      <w:r w:rsid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при реализации обязательств перед частными образовательными организациями (индивидуальными предпринимателями), возникающими в рамках системы персо</w:t>
      </w:r>
      <w:r w:rsidR="00427172" w:rsidRPr="0042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нифицированного финансирования.</w:t>
      </w:r>
      <w:proofErr w:type="gramEnd"/>
    </w:p>
    <w:p w:rsidR="0084724F" w:rsidRPr="00427172" w:rsidRDefault="0084724F" w:rsidP="00427172">
      <w:pPr>
        <w:pStyle w:val="aa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72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постановление в районной газете «Маяк» и разместить на официальном Интернет-сайте Администрации МО «Ленский муниципальный район».</w:t>
      </w:r>
    </w:p>
    <w:p w:rsidR="0084724F" w:rsidRPr="00427172" w:rsidRDefault="0084724F" w:rsidP="00427172">
      <w:pPr>
        <w:pStyle w:val="aa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71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717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4271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2717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МО «Ленский муниципальный район» </w:t>
      </w:r>
      <w:r w:rsidR="00427172" w:rsidRPr="00427172">
        <w:rPr>
          <w:rFonts w:ascii="Times New Roman" w:eastAsia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Pr="00427172">
        <w:rPr>
          <w:rFonts w:ascii="Times New Roman" w:eastAsia="Times New Roman" w:hAnsi="Times New Roman" w:cs="Times New Roman"/>
          <w:sz w:val="28"/>
          <w:szCs w:val="28"/>
        </w:rPr>
        <w:t xml:space="preserve"> Д.В. Усова.</w:t>
      </w:r>
    </w:p>
    <w:p w:rsidR="00427172" w:rsidRDefault="00427172" w:rsidP="0042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72" w:rsidRPr="00427172" w:rsidRDefault="00427172" w:rsidP="0042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24F" w:rsidRPr="00427172" w:rsidRDefault="0084724F" w:rsidP="0042717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МО «Ленский муниципальный район»                   </w:t>
      </w:r>
      <w:r w:rsidR="00427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427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 Торков</w:t>
      </w:r>
    </w:p>
    <w:p w:rsidR="00562940" w:rsidRPr="00427172" w:rsidRDefault="00562940" w:rsidP="0084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2" w:rsidRDefault="0042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724F" w:rsidRPr="00427172" w:rsidRDefault="0084724F" w:rsidP="006B74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27172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84724F" w:rsidRPr="00427172" w:rsidRDefault="00427172" w:rsidP="006B74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="0084724F" w:rsidRPr="00427172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84724F" w:rsidRPr="00427172" w:rsidRDefault="0084724F" w:rsidP="006B74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27172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427172" w:rsidRDefault="006B742E" w:rsidP="006B74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6B742E">
        <w:rPr>
          <w:rFonts w:ascii="Times New Roman" w:hAnsi="Times New Roman" w:cs="Times New Roman"/>
          <w:sz w:val="24"/>
          <w:szCs w:val="28"/>
        </w:rPr>
        <w:t>от 15 апреля 2020 года № 199-н</w:t>
      </w:r>
    </w:p>
    <w:p w:rsidR="006B742E" w:rsidRPr="00427172" w:rsidRDefault="006B742E" w:rsidP="00427172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27172" w:rsidRPr="00427172" w:rsidRDefault="00E53843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Методика</w:t>
      </w:r>
    </w:p>
    <w:p w:rsidR="00427172" w:rsidRPr="00427172" w:rsidRDefault="00E53843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определения нормативных за</w:t>
      </w:r>
      <w:r w:rsidR="00427172"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трат на оказание муниципальных услуг</w:t>
      </w:r>
    </w:p>
    <w:p w:rsidR="00562940" w:rsidRPr="00427172" w:rsidRDefault="00E53843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реализации дополнительных общеобразовательных </w:t>
      </w:r>
      <w:proofErr w:type="spellStart"/>
      <w:r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общеразвивающих</w:t>
      </w:r>
      <w:proofErr w:type="spellEnd"/>
      <w:r w:rsidRPr="004271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программ в рамках системы персонифицированного финансирования дополнительного образования детей М</w:t>
      </w:r>
      <w:r w:rsidR="00DD2A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«Ленский муниципальный район»</w:t>
      </w:r>
    </w:p>
    <w:p w:rsidR="00E53843" w:rsidRPr="00427172" w:rsidRDefault="00E53843" w:rsidP="004271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940" w:rsidRPr="00427172" w:rsidRDefault="00562940" w:rsidP="004271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27172" w:rsidRPr="00427172" w:rsidRDefault="00427172" w:rsidP="004271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7172" w:rsidRPr="00427172" w:rsidRDefault="00562940" w:rsidP="00427172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Настоящая методика определения нормативных затрат на оказание </w:t>
      </w:r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 по реализации дополнительных общеобразовательных общеразвивающих программ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системы персонифицированного финансирования дополнительного образования детей МО «Ленский муниципальный район» (далее</w:t>
      </w:r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7172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Методика) 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устанавливает порядок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пределения величины составля</w:t>
      </w:r>
      <w:r w:rsidR="00427172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базовых нормативов затрат.</w:t>
      </w:r>
    </w:p>
    <w:p w:rsidR="00427172" w:rsidRPr="00427172" w:rsidRDefault="00562940" w:rsidP="00427172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Настоящая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етодика применяется</w:t>
      </w:r>
      <w:r w:rsidR="0084724F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Отделом образования Администрации МО «Ленский муниципальный район» (далее</w:t>
      </w:r>
      <w:r w:rsid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669D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84724F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образования)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выполняющ</w:t>
      </w:r>
      <w:r w:rsid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функции и полномочия учредителя </w:t>
      </w:r>
      <w:r w:rsidR="0084724F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учреждений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частными образовательными организациями (индивидуальными предпринимателя),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возникающих в рамках системы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ерсонифицированного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</w:t>
      </w:r>
      <w:r w:rsidR="00427172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инансирования.</w:t>
      </w:r>
      <w:proofErr w:type="gramEnd"/>
    </w:p>
    <w:p w:rsidR="0084724F" w:rsidRPr="00427172" w:rsidRDefault="00562940" w:rsidP="00427172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 Методика разработана в целях:</w:t>
      </w:r>
      <w:r w:rsidR="0084724F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27172" w:rsidRDefault="0084724F" w:rsidP="00427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2940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установления экономически обоснованных механизмов и единых методов определения нормативных затрат на оказание 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</w:t>
      </w:r>
      <w:r w:rsidR="00562940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 по реализации дополнительных общеобразовате</w:t>
      </w:r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льных </w:t>
      </w:r>
      <w:proofErr w:type="spellStart"/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программ;</w:t>
      </w:r>
    </w:p>
    <w:p w:rsidR="00427172" w:rsidRDefault="0084724F" w:rsidP="00427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2940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обеспечения финансовой </w:t>
      </w:r>
      <w:proofErr w:type="gramStart"/>
      <w:r w:rsidR="00562940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прозрачности процедур планирования объемов бюджетных ассигнований</w:t>
      </w:r>
      <w:proofErr w:type="gramEnd"/>
      <w:r w:rsidR="00562940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финансовое обеспечен</w:t>
      </w:r>
      <w:r w:rsid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ие дополнительного образования.</w:t>
      </w:r>
    </w:p>
    <w:p w:rsidR="00427172" w:rsidRPr="00427172" w:rsidRDefault="00562940" w:rsidP="00427172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Образовательные </w:t>
      </w:r>
      <w:r w:rsidR="0084724F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организации, осуществляющие обучение (в том числе организации спорта и культуры), индивидуальные предприниматели, реализующие дополнительные общеразвивающие программы в рамках системы персонифицированного финансирования, вправе установить цену оказания </w:t>
      </w:r>
      <w:r w:rsid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</w:t>
      </w:r>
      <w:r w:rsidR="00E53843"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27172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етодикой.</w:t>
      </w:r>
    </w:p>
    <w:p w:rsidR="00427172" w:rsidRDefault="00427172" w:rsidP="00E5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669D" w:rsidRPr="00427172" w:rsidRDefault="0012669D" w:rsidP="00E5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669D" w:rsidRDefault="0012669D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Расчет нормативных затрат</w:t>
      </w:r>
    </w:p>
    <w:p w:rsidR="0012669D" w:rsidRDefault="00562940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оказание </w:t>
      </w:r>
      <w:r w:rsidR="00427172"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услуг </w:t>
      </w:r>
      <w:r w:rsid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реализации</w:t>
      </w:r>
    </w:p>
    <w:p w:rsidR="00562940" w:rsidRPr="0012669D" w:rsidRDefault="00562940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дополнительных общеобразовательных </w:t>
      </w:r>
      <w:proofErr w:type="spellStart"/>
      <w:r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общеразвивающих</w:t>
      </w:r>
      <w:proofErr w:type="spellEnd"/>
      <w:r w:rsidRPr="00126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</w:t>
      </w:r>
    </w:p>
    <w:p w:rsidR="00427172" w:rsidRPr="0012669D" w:rsidRDefault="00427172" w:rsidP="00427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949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8"/>
      </w:tblGrid>
      <w:tr w:rsidR="00C31621" w:rsidRPr="0012669D" w:rsidTr="00DD2A50">
        <w:trPr>
          <w:trHeight w:val="315"/>
        </w:trPr>
        <w:tc>
          <w:tcPr>
            <w:tcW w:w="9498" w:type="dxa"/>
          </w:tcPr>
          <w:p w:rsidR="0012669D" w:rsidRPr="0012669D" w:rsidRDefault="005234B7" w:rsidP="0012669D">
            <w:pPr>
              <w:pStyle w:val="Default"/>
              <w:ind w:firstLine="709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12669D">
              <w:rPr>
                <w:rFonts w:eastAsia="Times New Roman"/>
                <w:sz w:val="27"/>
                <w:szCs w:val="27"/>
                <w:lang w:eastAsia="ru-RU"/>
              </w:rPr>
              <w:t>1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Нормативные затраты на оказание </w:t>
            </w:r>
            <w:r w:rsidR="00E53843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муниципальных 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>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      </w:r>
            <w:proofErr w:type="gramEnd"/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 здоровья обучающихся, а также с учетом иных предусмотренных Федеральным законом </w:t>
            </w:r>
            <w:r w:rsidR="006C70B1" w:rsidRPr="0012669D">
              <w:rPr>
                <w:rFonts w:eastAsia="Times New Roman"/>
                <w:sz w:val="27"/>
                <w:szCs w:val="27"/>
                <w:lang w:eastAsia="ru-RU"/>
              </w:rPr>
              <w:t>«Об образовании в Российской Федерации» от 29.12.2012</w:t>
            </w:r>
            <w:r w:rsidR="0012669D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="006C70B1" w:rsidRPr="0012669D">
              <w:rPr>
                <w:rFonts w:eastAsia="Times New Roman"/>
                <w:sz w:val="27"/>
                <w:szCs w:val="27"/>
                <w:lang w:eastAsia="ru-RU"/>
              </w:rPr>
              <w:t>№ N 273-ФЗ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 особенностей организации и осуществления образовательных услуг (для различных категорий обучающихся</w:t>
            </w:r>
            <w:r w:rsidR="006C70B1" w:rsidRPr="0012669D">
              <w:rPr>
                <w:rFonts w:eastAsia="Times New Roman"/>
                <w:sz w:val="27"/>
                <w:szCs w:val="27"/>
                <w:lang w:eastAsia="ru-RU"/>
              </w:rPr>
              <w:t>).</w:t>
            </w:r>
            <w:r w:rsidR="0012669D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="006C70B1" w:rsidRPr="0012669D">
              <w:rPr>
                <w:rFonts w:eastAsia="Times New Roman"/>
                <w:sz w:val="27"/>
                <w:szCs w:val="27"/>
                <w:lang w:eastAsia="ru-RU"/>
              </w:rPr>
              <w:t>О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бъем </w:t>
            </w:r>
            <w:r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муниципальных 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>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</w:t>
            </w:r>
            <w:r w:rsidR="006C70B1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 образовательным </w:t>
            </w:r>
            <w:r w:rsidRPr="0012669D">
              <w:rPr>
                <w:rFonts w:eastAsia="Times New Roman"/>
                <w:sz w:val="27"/>
                <w:szCs w:val="27"/>
                <w:lang w:eastAsia="ru-RU"/>
              </w:rPr>
              <w:t>учреждением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>, осуществляющей образовательную деятельность, если иное не уст</w:t>
            </w:r>
            <w:r w:rsidR="0012669D" w:rsidRPr="0012669D">
              <w:rPr>
                <w:rFonts w:eastAsia="Times New Roman"/>
                <w:sz w:val="27"/>
                <w:szCs w:val="27"/>
                <w:lang w:eastAsia="ru-RU"/>
              </w:rPr>
              <w:t>ановлено федеральными законами.</w:t>
            </w:r>
          </w:p>
          <w:p w:rsidR="00434E70" w:rsidRPr="0012669D" w:rsidRDefault="005234B7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rFonts w:eastAsia="Times New Roman"/>
                <w:sz w:val="27"/>
                <w:szCs w:val="27"/>
                <w:lang w:eastAsia="ru-RU"/>
              </w:rPr>
              <w:t>2</w:t>
            </w:r>
            <w:r w:rsidR="00562940" w:rsidRPr="0012669D">
              <w:rPr>
                <w:rFonts w:eastAsia="Times New Roman"/>
                <w:sz w:val="27"/>
                <w:szCs w:val="27"/>
                <w:lang w:eastAsia="ru-RU"/>
              </w:rPr>
              <w:t>.</w:t>
            </w:r>
            <w:r w:rsidR="00BC156E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 В н</w:t>
            </w:r>
            <w:r w:rsidR="00434E70" w:rsidRPr="0012669D">
              <w:rPr>
                <w:rFonts w:eastAsia="Times New Roman"/>
                <w:sz w:val="27"/>
                <w:szCs w:val="27"/>
                <w:lang w:eastAsia="ru-RU"/>
              </w:rPr>
              <w:t>ормативные затраты на оказани</w:t>
            </w:r>
            <w:r w:rsidR="0012669D">
              <w:rPr>
                <w:rFonts w:eastAsia="Times New Roman"/>
                <w:sz w:val="27"/>
                <w:szCs w:val="27"/>
                <w:lang w:eastAsia="ru-RU"/>
              </w:rPr>
              <w:t xml:space="preserve">е муниципальных </w:t>
            </w:r>
            <w:r w:rsidR="00434E70" w:rsidRPr="0012669D">
              <w:rPr>
                <w:rFonts w:eastAsia="Times New Roman"/>
                <w:sz w:val="27"/>
                <w:szCs w:val="27"/>
                <w:lang w:eastAsia="ru-RU"/>
              </w:rPr>
              <w:t xml:space="preserve">услуг по реализации дополнительных общеобразовательных общеразвивающих программ </w:t>
            </w:r>
            <w:r w:rsidR="0012669D">
              <w:rPr>
                <w:sz w:val="27"/>
                <w:szCs w:val="27"/>
              </w:rPr>
              <w:t>включены следующие виды затрат:</w:t>
            </w:r>
          </w:p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C31621" w:rsidRP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оплату труда и начисления на выплаты по оплате труда педагогических работников</w:t>
            </w:r>
            <w:r w:rsidRPr="0012669D">
              <w:rPr>
                <w:sz w:val="27"/>
                <w:szCs w:val="27"/>
              </w:rPr>
              <w:t>;</w:t>
            </w:r>
            <w:r w:rsidR="00C31621" w:rsidRPr="0012669D">
              <w:rPr>
                <w:sz w:val="27"/>
                <w:szCs w:val="27"/>
              </w:rPr>
              <w:t xml:space="preserve"> </w:t>
            </w:r>
          </w:p>
        </w:tc>
      </w:tr>
      <w:tr w:rsidR="00C31621" w:rsidRPr="0012669D" w:rsidTr="00DD2A50">
        <w:trPr>
          <w:trHeight w:val="315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 xml:space="preserve">атраты на приобретение материальных запасов и особо ценного движимого имущества, потребляемых (используемых) в процессе оказания </w:t>
            </w:r>
            <w:r w:rsidR="00972CC6" w:rsidRPr="0012669D">
              <w:rPr>
                <w:sz w:val="27"/>
                <w:szCs w:val="27"/>
              </w:rPr>
              <w:t>муниципальной</w:t>
            </w:r>
            <w:r w:rsidR="00C31621" w:rsidRPr="0012669D">
              <w:rPr>
                <w:sz w:val="27"/>
                <w:szCs w:val="27"/>
              </w:rPr>
              <w:t xml:space="preserve"> услуги</w:t>
            </w:r>
            <w:r w:rsidRPr="0012669D">
              <w:rPr>
                <w:sz w:val="27"/>
                <w:szCs w:val="27"/>
              </w:rPr>
              <w:t>;</w:t>
            </w:r>
            <w:r w:rsidR="00C31621" w:rsidRPr="0012669D">
              <w:rPr>
                <w:sz w:val="27"/>
                <w:szCs w:val="27"/>
              </w:rPr>
              <w:t xml:space="preserve"> 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приобретение учебной литературы</w:t>
            </w:r>
            <w:r w:rsidRPr="0012669D">
              <w:rPr>
                <w:sz w:val="27"/>
                <w:szCs w:val="27"/>
              </w:rPr>
              <w:t>;</w:t>
            </w:r>
            <w:r w:rsidR="00C31621" w:rsidRPr="0012669D">
              <w:rPr>
                <w:sz w:val="27"/>
                <w:szCs w:val="27"/>
              </w:rPr>
              <w:t xml:space="preserve"> 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повышение квалификации педагогических работников</w:t>
            </w:r>
            <w:r w:rsidRPr="0012669D">
              <w:rPr>
                <w:sz w:val="27"/>
                <w:szCs w:val="27"/>
              </w:rPr>
              <w:t>;</w:t>
            </w:r>
          </w:p>
        </w:tc>
      </w:tr>
      <w:tr w:rsidR="00C31621" w:rsidRPr="0012669D" w:rsidTr="00DD2A50">
        <w:trPr>
          <w:trHeight w:val="315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прохождение педагогическими р</w:t>
            </w:r>
            <w:r w:rsidR="0012669D">
              <w:rPr>
                <w:sz w:val="27"/>
                <w:szCs w:val="27"/>
              </w:rPr>
              <w:t>аботниками медицинских осмотров</w:t>
            </w:r>
            <w:r w:rsidRPr="0012669D">
              <w:rPr>
                <w:sz w:val="27"/>
                <w:szCs w:val="27"/>
              </w:rPr>
              <w:t>;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коммунальные услуги</w:t>
            </w:r>
            <w:r w:rsidRPr="0012669D">
              <w:rPr>
                <w:sz w:val="27"/>
                <w:szCs w:val="27"/>
              </w:rPr>
              <w:t>;</w:t>
            </w:r>
            <w:r w:rsidR="00C31621" w:rsidRPr="0012669D">
              <w:rPr>
                <w:sz w:val="27"/>
                <w:szCs w:val="27"/>
              </w:rPr>
              <w:t xml:space="preserve"> </w:t>
            </w:r>
          </w:p>
        </w:tc>
      </w:tr>
      <w:tr w:rsidR="00C31621" w:rsidRPr="0012669D" w:rsidTr="00DD2A50">
        <w:trPr>
          <w:trHeight w:val="317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содержание объектов недвижимого имущества (в том чис</w:t>
            </w:r>
            <w:r w:rsidR="0012669D">
              <w:rPr>
                <w:sz w:val="27"/>
                <w:szCs w:val="27"/>
              </w:rPr>
              <w:t>ле затраты на арендные платежи)</w:t>
            </w:r>
            <w:r w:rsidRPr="0012669D">
              <w:rPr>
                <w:sz w:val="27"/>
                <w:szCs w:val="27"/>
              </w:rPr>
              <w:t>;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содержание объектов ос</w:t>
            </w:r>
            <w:r w:rsidR="0012669D">
              <w:rPr>
                <w:sz w:val="27"/>
                <w:szCs w:val="27"/>
              </w:rPr>
              <w:t>обо ценного движимого имущества;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</w:t>
            </w:r>
            <w:r w:rsidR="0012669D">
              <w:rPr>
                <w:sz w:val="27"/>
                <w:szCs w:val="27"/>
              </w:rPr>
              <w:t>аты на приобретение услуг связи</w:t>
            </w:r>
            <w:r w:rsidRPr="0012669D">
              <w:rPr>
                <w:sz w:val="27"/>
                <w:szCs w:val="27"/>
              </w:rPr>
              <w:t>;</w:t>
            </w:r>
          </w:p>
        </w:tc>
      </w:tr>
      <w:tr w:rsidR="00C31621" w:rsidRPr="0012669D" w:rsidTr="00DD2A50">
        <w:trPr>
          <w:trHeight w:val="524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>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</w:t>
            </w:r>
            <w:r w:rsidR="00972CC6" w:rsidRPr="0012669D">
              <w:rPr>
                <w:sz w:val="27"/>
                <w:szCs w:val="27"/>
              </w:rPr>
              <w:t>;</w:t>
            </w:r>
          </w:p>
        </w:tc>
      </w:tr>
      <w:tr w:rsidR="00C31621" w:rsidRPr="0012669D" w:rsidTr="00DD2A50">
        <w:trPr>
          <w:trHeight w:val="109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з</w:t>
            </w:r>
            <w:r w:rsidR="00C31621" w:rsidRPr="0012669D">
              <w:rPr>
                <w:sz w:val="27"/>
                <w:szCs w:val="27"/>
              </w:rPr>
              <w:t xml:space="preserve">атраты на оплату труда и начисления на выплаты по оплате труда </w:t>
            </w:r>
            <w:r w:rsidRPr="0012669D">
              <w:rPr>
                <w:sz w:val="27"/>
                <w:szCs w:val="27"/>
              </w:rPr>
              <w:t>административно-управленческого персонала (далее</w:t>
            </w:r>
            <w:r w:rsidR="0012669D">
              <w:rPr>
                <w:sz w:val="27"/>
                <w:szCs w:val="27"/>
              </w:rPr>
              <w:t xml:space="preserve"> </w:t>
            </w:r>
            <w:r w:rsidR="0012669D" w:rsidRPr="00427172">
              <w:rPr>
                <w:rFonts w:eastAsia="Times New Roman"/>
                <w:sz w:val="27"/>
                <w:szCs w:val="27"/>
                <w:lang w:eastAsia="ru-RU"/>
              </w:rPr>
              <w:t>–</w:t>
            </w:r>
            <w:r w:rsidR="0012669D">
              <w:rPr>
                <w:sz w:val="27"/>
                <w:szCs w:val="27"/>
              </w:rPr>
              <w:t xml:space="preserve"> </w:t>
            </w:r>
            <w:r w:rsidR="00C31621" w:rsidRPr="0012669D">
              <w:rPr>
                <w:sz w:val="27"/>
                <w:szCs w:val="27"/>
              </w:rPr>
              <w:t>АУП</w:t>
            </w:r>
            <w:r w:rsidRPr="0012669D">
              <w:rPr>
                <w:sz w:val="27"/>
                <w:szCs w:val="27"/>
              </w:rPr>
              <w:t>);</w:t>
            </w:r>
          </w:p>
        </w:tc>
      </w:tr>
      <w:tr w:rsidR="00C31621" w:rsidRPr="0012669D" w:rsidTr="00DD2A50">
        <w:trPr>
          <w:trHeight w:val="524"/>
        </w:trPr>
        <w:tc>
          <w:tcPr>
            <w:tcW w:w="9498" w:type="dxa"/>
          </w:tcPr>
          <w:p w:rsidR="00C31621" w:rsidRPr="0012669D" w:rsidRDefault="00434E70" w:rsidP="0012669D">
            <w:pPr>
              <w:pStyle w:val="Default"/>
              <w:ind w:firstLine="709"/>
              <w:jc w:val="both"/>
              <w:rPr>
                <w:sz w:val="27"/>
                <w:szCs w:val="27"/>
              </w:rPr>
            </w:pPr>
            <w:r w:rsidRPr="0012669D">
              <w:rPr>
                <w:sz w:val="27"/>
                <w:szCs w:val="27"/>
              </w:rPr>
              <w:t>-</w:t>
            </w:r>
            <w:r w:rsidR="0012669D">
              <w:rPr>
                <w:sz w:val="27"/>
                <w:szCs w:val="27"/>
              </w:rPr>
              <w:t xml:space="preserve"> </w:t>
            </w:r>
            <w:r w:rsidRPr="0012669D">
              <w:rPr>
                <w:sz w:val="27"/>
                <w:szCs w:val="27"/>
              </w:rPr>
              <w:t>п</w:t>
            </w:r>
            <w:r w:rsidR="00C31621" w:rsidRPr="0012669D">
              <w:rPr>
                <w:sz w:val="27"/>
                <w:szCs w:val="27"/>
              </w:rPr>
              <w:t>риобретение материальных запасо</w:t>
            </w:r>
            <w:r w:rsidR="0012669D">
              <w:rPr>
                <w:sz w:val="27"/>
                <w:szCs w:val="27"/>
              </w:rPr>
              <w:t>в общехозяйственного назначения.</w:t>
            </w:r>
          </w:p>
        </w:tc>
      </w:tr>
    </w:tbl>
    <w:p w:rsidR="0012669D" w:rsidRPr="0012669D" w:rsidRDefault="00434E70" w:rsidP="0012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</w:t>
      </w:r>
      <w:r w:rsidR="0012669D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Нормативные затраты на оказание </w:t>
      </w:r>
      <w:r w:rsidR="005234B7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 определяются по следующей формуле:</w:t>
      </w:r>
    </w:p>
    <w:p w:rsidR="002601AB" w:rsidRDefault="006C70B1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=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proofErr w:type="spellStart"/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непоср</w:t>
      </w:r>
      <w:proofErr w:type="spellEnd"/>
      <w:r w:rsidR="00BC156E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 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BC156E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2601AB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общ</w:t>
      </w:r>
      <w:r w:rsidR="002601AB" w:rsidRPr="002601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562940" w:rsidRP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</w:t>
      </w:r>
    </w:p>
    <w:p w:rsidR="002601AB" w:rsidRPr="002601AB" w:rsidRDefault="006C70B1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нормативные затраты на оказание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/оказанн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</w:t>
      </w:r>
      <w:r w:rsidR="005234B7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услуги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программ;</w:t>
      </w:r>
    </w:p>
    <w:p w:rsidR="002601AB" w:rsidRDefault="00BC156E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proofErr w:type="spellStart"/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непоср</w:t>
      </w:r>
      <w:proofErr w:type="spellEnd"/>
      <w:r w:rsidRPr="002601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базовый норматив затрат, непосредственно связанных с оказанием 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/оказанной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34B7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услуги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программ;</w:t>
      </w:r>
    </w:p>
    <w:p w:rsidR="002601AB" w:rsidRDefault="00BC156E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общ</w:t>
      </w:r>
      <w:r w:rsidR="002601AB" w:rsidRP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базовый норматив затрат на общехозяйственные нужды на оказание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по реализации дополнительных общеобразовате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льных </w:t>
      </w:r>
      <w:proofErr w:type="spellStart"/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программ.</w:t>
      </w:r>
    </w:p>
    <w:p w:rsidR="002601AB" w:rsidRDefault="005234B7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. Базовый норматив затрат, непосредственно связанных с оказанием</w:t>
      </w:r>
      <w:r w:rsidR="00BC156E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программ, рассч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итывается по следующей формуле:</w:t>
      </w:r>
    </w:p>
    <w:p w:rsidR="002601AB" w:rsidRPr="002601AB" w:rsidRDefault="00BC156E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proofErr w:type="spellStart"/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непоср</w:t>
      </w:r>
      <w:proofErr w:type="spellEnd"/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=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ОТ</w:t>
      </w:r>
      <w:r w:rsidR="00483AF4"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1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ИНЗ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E07B10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+</w:t>
      </w:r>
      <w:r w:rsid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МЗ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+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УЧ</w:t>
      </w:r>
      <w:r w:rsidR="00562940" w:rsidRPr="002601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</w:t>
      </w:r>
    </w:p>
    <w:p w:rsidR="002601AB" w:rsidRDefault="00483AF4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ОТ1</w:t>
      </w:r>
      <w:r w:rsidR="00562940" w:rsidRPr="002601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оплату труда педагогических работников, непосредственно связанных с оказанием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="005234B7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по реализации дополнительных общеобразовательных общеразвивающих программ, в том числе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отчисления во внебюджетные фонды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рассчитываемый по формуле:</w:t>
      </w:r>
    </w:p>
    <w:p w:rsidR="002601AB" w:rsidRDefault="00483AF4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ОТ1</w:t>
      </w:r>
      <w:r w:rsidR="00727B5C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=</w:t>
      </w:r>
      <w:r w:rsidR="00727B5C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W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/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Q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сред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/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час</w:t>
      </w:r>
      <w:r w:rsidR="00562940" w:rsidRPr="002601AB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</w:t>
      </w:r>
    </w:p>
    <w:p w:rsidR="008E6227" w:rsidRDefault="00483AF4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W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годовой</w:t>
      </w:r>
      <w:proofErr w:type="gram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фонд оплаты труда штатной единицы работников, непосредственно связанных с оказанием </w:t>
      </w:r>
      <w:r w:rsidR="008E622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психолого-педагогической, методической и консультативной помощи, включая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отчисления во внебюджетные фонды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соответствующий финансовый год;</w:t>
      </w:r>
    </w:p>
    <w:p w:rsidR="008E6227" w:rsidRDefault="00483AF4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Q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сред</w:t>
      </w:r>
      <w:r w:rsidRPr="00727B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среднее число учащихся в расчете на 1 педагогического работника на соответствующий год, значение устанавливается уполномоченным органом государственной власти субъекта Российской Федерации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и/или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самоуправления;</w:t>
      </w:r>
    </w:p>
    <w:p w:rsidR="008E6227" w:rsidRDefault="00483AF4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601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час</w:t>
      </w:r>
      <w:r w:rsidRPr="002601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601AB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норма времени в год на одного ребенка, значение устанавливается уполномоченным органом государственной власти субъекта Российской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6227">
        <w:rPr>
          <w:rFonts w:ascii="Times New Roman" w:eastAsia="Times New Roman" w:hAnsi="Times New Roman" w:cs="Times New Roman"/>
          <w:sz w:val="27"/>
          <w:szCs w:val="27"/>
          <w:lang w:eastAsia="ru-RU"/>
        </w:rPr>
        <w:t>и/или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622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самоуправления;</w:t>
      </w:r>
    </w:p>
    <w:p w:rsidR="008E6227" w:rsidRDefault="0020631E" w:rsidP="008E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.2. </w:t>
      </w:r>
      <w:r w:rsidR="00483AF4"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483AF4"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483AF4"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ИНЗ</w:t>
      </w:r>
      <w:r w:rsidR="00483AF4" w:rsidRPr="008E6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6227" w:rsidRPr="008E62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483AF4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/оказанной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34B7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услуги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программ, которые определяются по формуле:</w:t>
      </w:r>
    </w:p>
    <w:p w:rsidR="008E6227" w:rsidRDefault="00483AF4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ИНЗ</w:t>
      </w:r>
      <w:r w:rsidR="00727B5C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= 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КВАЛ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+ 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МЕД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</w:t>
      </w:r>
    </w:p>
    <w:p w:rsidR="008E6227" w:rsidRDefault="00483AF4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КВАЛ</w:t>
      </w:r>
      <w:r w:rsidRPr="00727B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E6227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которые определяются по формуле:</w:t>
      </w:r>
    </w:p>
    <w:p w:rsidR="00562940" w:rsidRPr="008E6227" w:rsidRDefault="00483AF4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E6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N</w:t>
      </w:r>
      <w:r w:rsidRPr="008E62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8E62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КВАЛ</w:t>
      </w:r>
      <w:r w:rsidR="00727B5C" w:rsidRPr="0072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72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FD7" w:rsidRPr="008E6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CD6" w:rsidRPr="008E62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баз КВАЛ</w:t>
      </w:r>
      <w:r w:rsidR="00872CD6" w:rsidRPr="0072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/ 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сред  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gramEnd"/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CD6" w:rsidRPr="008E62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час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</w:p>
    <w:p w:rsidR="008E6227" w:rsidRDefault="00872CD6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L</w:t>
      </w:r>
      <w:r w:rsidRPr="00727B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E6227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</w:t>
      </w:r>
      <w:proofErr w:type="gram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повышения квалификации в днях;</w:t>
      </w:r>
    </w:p>
    <w:p w:rsidR="008E6227" w:rsidRDefault="00872CD6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227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C</w:t>
      </w:r>
      <w:r w:rsidRPr="008E6227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баз КВАЛ</w:t>
      </w:r>
      <w:r w:rsidRPr="00727B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E6227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 государственной власти субъекта Российской Федерации</w:t>
      </w:r>
      <w:r w:rsidR="00C571D6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/или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самоуправления;</w:t>
      </w:r>
    </w:p>
    <w:p w:rsidR="008E6227" w:rsidRDefault="00872CD6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E62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</w:t>
      </w:r>
      <w:proofErr w:type="gramEnd"/>
      <w:r w:rsidRPr="008E6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6227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периодичность повышения квалификации, в соответствии с </w:t>
      </w:r>
      <w:hyperlink r:id="rId7" w:history="1"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Общими требованиями к определению нормативных затрат на оказание государственных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задания на оказание государственных услуг (выполнения работ) государственным учреждением</w:t>
        </w:r>
      </w:hyperlink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утвержденных </w:t>
      </w:r>
      <w:hyperlink r:id="rId8" w:history="1">
        <w:r w:rsidR="00C571D6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</w:t>
        </w:r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риказом Министерства образования и науки Росси</w:t>
        </w:r>
        <w:r w:rsidR="008E622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йской Федерации от 22.09.2015</w:t>
        </w:r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N 1040</w:t>
        </w:r>
      </w:hyperlink>
      <w:r w:rsidR="00727B5C">
        <w:rPr>
          <w:rFonts w:ascii="Times New Roman" w:hAnsi="Times New Roman" w:cs="Times New Roman"/>
          <w:sz w:val="27"/>
          <w:szCs w:val="27"/>
        </w:rPr>
        <w:t>;</w:t>
      </w:r>
    </w:p>
    <w:p w:rsidR="00036CF1" w:rsidRPr="0012669D" w:rsidRDefault="00036CF1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B5C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МЕД</w:t>
      </w:r>
      <w:r w:rsidR="008E6227"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r w:rsidR="008E6227" w:rsidRPr="008E62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прохождение педагогическими работниками медицинских осмотров, которые определяются по формуле:</w:t>
      </w:r>
    </w:p>
    <w:p w:rsidR="00562940" w:rsidRPr="0012669D" w:rsidRDefault="00036CF1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7B5C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МЕД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= </w:t>
      </w:r>
      <w:proofErr w:type="spellStart"/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</w:t>
      </w:r>
      <w:proofErr w:type="spellEnd"/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МЕД</w:t>
      </w:r>
      <w:r w:rsidR="00727B5C"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/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Q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сред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/</w:t>
      </w:r>
      <w:r w:rsid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час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</w:p>
    <w:p w:rsidR="00727B5C" w:rsidRDefault="00036CF1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</w:t>
      </w:r>
      <w:proofErr w:type="spellEnd"/>
      <w:r w:rsidRPr="00727B5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727B5C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МЕД</w:t>
      </w:r>
      <w:r w:rsidRPr="00727B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27B5C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стоимость консультации врачей, медицинских исследований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анализов </w:t>
      </w:r>
      <w:r w:rsidR="00727B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цен,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данным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коммерческих предложений</w:t>
      </w:r>
      <w:r w:rsidR="00C571D6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наи</w:t>
      </w:r>
      <w:r w:rsidR="000F450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меньшей цене;</w:t>
      </w:r>
    </w:p>
    <w:p w:rsidR="00727B5C" w:rsidRDefault="0020631E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.3. </w:t>
      </w:r>
      <w:r w:rsidR="00036CF1"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036CF1"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036CF1"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МЗ</w:t>
      </w:r>
      <w:r w:rsidR="00036CF1"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727B5C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036CF1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="000F450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 по реализации дополнительных общеобразовательных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программ, которые определяются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формуле:</w:t>
      </w:r>
    </w:p>
    <w:p w:rsidR="00562940" w:rsidRPr="000F4503" w:rsidRDefault="00036CF1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МЗ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= </w:t>
      </w:r>
      <w:proofErr w:type="spellStart"/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</w:t>
      </w:r>
      <w:proofErr w:type="spellEnd"/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r w:rsid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/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D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 МЗ</w:t>
      </w:r>
      <w:r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/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="000F4503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</w:t>
      </w:r>
    </w:p>
    <w:p w:rsidR="00727B5C" w:rsidRDefault="00036CF1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</w:t>
      </w:r>
      <w:proofErr w:type="spellEnd"/>
      <w:r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4503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стоимость комплекта средств обучения по одной направленности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расчете на 1 обучающегося, значение устанавливается уполномоченным органом государственной власти субъекта Российской Федерации</w:t>
      </w:r>
      <w:r w:rsidR="00C571D6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/или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самоуправления;</w:t>
      </w:r>
    </w:p>
    <w:p w:rsidR="000F4503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D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 МЗ</w:t>
      </w:r>
      <w:r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4503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 полезного использования комплекта средств обучения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годах;</w:t>
      </w:r>
    </w:p>
    <w:p w:rsidR="000F4503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4503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 использования оборудования и методических пособий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часах на год, значение устанавливается уполномоченным органом государственной власт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субъекта Российской Федерации и /или </w:t>
      </w:r>
      <w:r w:rsidR="000F450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самоуправления;</w:t>
      </w:r>
    </w:p>
    <w:p w:rsidR="000F4503" w:rsidRDefault="0020631E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.4. </w:t>
      </w:r>
      <w:r w:rsidR="002E12A0"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2E12A0"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2E12A0"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УЧ</w:t>
      </w:r>
      <w:r w:rsidR="002E12A0"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4503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приобретение методических пособий, используемых в процессе оказания </w:t>
      </w:r>
      <w:r w:rsidR="002E12A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по реализации дополнительных общеобразовательных общеразвивающих программ, которые определяются по формуле:</w:t>
      </w:r>
    </w:p>
    <w:p w:rsidR="00562940" w:rsidRPr="000F4503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УЧ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= (</w:t>
      </w:r>
      <w:proofErr w:type="spellStart"/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баз</w:t>
      </w:r>
      <w:proofErr w:type="spellEnd"/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УЧ</w:t>
      </w:r>
      <w:r w:rsidRPr="008819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*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Q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баз УЧ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) /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D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баз УЧ</w:t>
      </w:r>
      <w:r w:rsidRPr="000F450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/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0F4503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</w:p>
    <w:p w:rsidR="00F01752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0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175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баз</w:t>
      </w:r>
      <w:proofErr w:type="spellEnd"/>
      <w:r w:rsidRPr="00F0175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УЧ</w:t>
      </w:r>
      <w:r w:rsidRPr="00F0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752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стоимость одного экземпляра методических пособий, которая может быть определена самостоятельно с учетом цен,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данным коммерческих предложений по наименьшей цене</w:t>
      </w:r>
      <w:r w:rsid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01752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lastRenderedPageBreak/>
        <w:t>Q</w:t>
      </w:r>
      <w:r w:rsidR="00F01752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баз УЧ</w:t>
      </w:r>
      <w:r w:rsidRPr="00F017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01752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методических пособий на 1 обучающегося;</w:t>
      </w:r>
    </w:p>
    <w:p w:rsidR="002E12A0" w:rsidRPr="0012669D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D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баз УЧ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F01752" w:rsidRPr="00427172">
        <w:rPr>
          <w:rFonts w:eastAsia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 полезного использования методических пособий в годах.</w:t>
      </w:r>
    </w:p>
    <w:p w:rsidR="00F01752" w:rsidRDefault="002E12A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="00F01752" w:rsidRPr="00F017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E07B10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7B1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 использования оборудования и методических пособий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E07B1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часах на год, значение устанавливается уполномоченным органом государственной власти субъек</w:t>
      </w:r>
      <w:r w:rsid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Российской Федерации и /или </w:t>
      </w:r>
      <w:r w:rsidR="00E07B1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</w:t>
      </w:r>
      <w:r w:rsid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01752" w:rsidRDefault="0020631E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. Базовый норматив затрат на общехозяйственные нужды на оказание</w:t>
      </w:r>
      <w:r w:rsidR="00E07B1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оказанной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по реализации дополнительных общеобразовательных общеразвивающих программ рассчитывается по следующей формуле:</w:t>
      </w:r>
    </w:p>
    <w:p w:rsidR="00F01752" w:rsidRDefault="00E07B1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общ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=</w:t>
      </w:r>
      <w:r w:rsidRPr="00DD2A5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СИ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ОТ2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</w:t>
      </w:r>
    </w:p>
    <w:p w:rsidR="00F01752" w:rsidRDefault="00E07B1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СИ</w:t>
      </w:r>
      <w:r w:rsidRPr="00F017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Базовый норматив затрат на общехозяйственные нужды на оказание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/оказанной </w:t>
      </w:r>
      <w:r w:rsidR="0020631E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по реализации дополнительных общеобразоват</w:t>
      </w:r>
      <w:r w:rsidR="00CD792F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ельных </w:t>
      </w:r>
      <w:proofErr w:type="spellStart"/>
      <w:r w:rsidR="00CD792F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CD792F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62940" w:rsidRPr="00F01752" w:rsidRDefault="00E07B1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СИ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FD75B6"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=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(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КУ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СНИ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СОЦДИ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УС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+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ТУ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) / 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Q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ср </w:t>
      </w:r>
      <w:proofErr w:type="spellStart"/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учащ</w:t>
      </w:r>
      <w:proofErr w:type="spellEnd"/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4668AE" w:rsidRPr="00F017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/ 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="004668AE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="00FD75B6"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1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</w:p>
    <w:p w:rsidR="007503D5" w:rsidRPr="0012669D" w:rsidRDefault="004668AE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КУ</w:t>
      </w:r>
      <w:r w:rsidR="00F01752"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7503D5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03D5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атраты на коммунальные услуги, включая затраты на горячее и холодное водоснабжение </w:t>
      </w:r>
      <w:proofErr w:type="gram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водоотведение ,</w:t>
      </w:r>
      <w:proofErr w:type="gram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электроснабжение, теплоснабжение </w:t>
      </w:r>
      <w:r w:rsid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тарифами на нормы суточного </w:t>
      </w:r>
      <w:bookmarkStart w:id="0" w:name="_GoBack"/>
      <w:bookmarkEnd w:id="0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потребления</w:t>
      </w:r>
      <w:r w:rsid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утилизация отходов/мусора;</w:t>
      </w:r>
    </w:p>
    <w:p w:rsidR="00F01752" w:rsidRDefault="004668AE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СНИ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атраты на содержание объектов недвижимого имущества (в том числе затраты на арендные платежи</w:t>
      </w:r>
      <w:r w:rsidR="00847EA4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), рассчитываются на основе учета нормативной площади прилегающей территории (кв.м), нормы об</w:t>
      </w:r>
      <w:r w:rsid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служивания территории дворником, утвержденные </w:t>
      </w:r>
      <w:r w:rsidR="007503D5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органами местного самоуправления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нормы убираемой площади (кв.м), </w:t>
      </w:r>
      <w:hyperlink r:id="rId9" w:history="1"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Постановление Секретариата ВЦСПС </w:t>
        </w:r>
        <w:r w:rsidR="00DD2A5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              </w:t>
        </w:r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21.04.1978 N 13-14</w:t>
        </w:r>
      </w:hyperlink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0" w:history="1">
        <w:r w:rsidR="00562940" w:rsidRPr="001266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 9 б</w:t>
        </w:r>
      </w:hyperlink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стоимости обслуживания и уборки помещений, рублей </w:t>
      </w:r>
      <w:r w:rsidR="00C571D6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кв.м. в месяц (данные </w:t>
      </w:r>
      <w:r w:rsidR="00C571D6" w:rsidRPr="0012669D">
        <w:rPr>
          <w:rStyle w:val="extended-textshort"/>
          <w:rFonts w:ascii="Times New Roman" w:hAnsi="Times New Roman" w:cs="Times New Roman"/>
          <w:bCs/>
          <w:sz w:val="27"/>
          <w:szCs w:val="27"/>
        </w:rPr>
        <w:t>Един</w:t>
      </w:r>
      <w:r w:rsidR="00193B56" w:rsidRPr="0012669D">
        <w:rPr>
          <w:rStyle w:val="extended-textshort"/>
          <w:rFonts w:ascii="Times New Roman" w:hAnsi="Times New Roman" w:cs="Times New Roman"/>
          <w:bCs/>
          <w:sz w:val="27"/>
          <w:szCs w:val="27"/>
        </w:rPr>
        <w:t xml:space="preserve">ой </w:t>
      </w:r>
      <w:r w:rsidR="00C571D6" w:rsidRPr="0012669D">
        <w:rPr>
          <w:rStyle w:val="extended-textshort"/>
          <w:rFonts w:ascii="Times New Roman" w:hAnsi="Times New Roman" w:cs="Times New Roman"/>
          <w:bCs/>
          <w:sz w:val="27"/>
          <w:szCs w:val="27"/>
        </w:rPr>
        <w:t>межведомственн</w:t>
      </w:r>
      <w:r w:rsidR="00F01752">
        <w:rPr>
          <w:rStyle w:val="extended-textshort"/>
          <w:rFonts w:ascii="Times New Roman" w:hAnsi="Times New Roman" w:cs="Times New Roman"/>
          <w:bCs/>
          <w:sz w:val="27"/>
          <w:szCs w:val="27"/>
        </w:rPr>
        <w:t>ой</w:t>
      </w:r>
      <w:r w:rsidR="00C571D6" w:rsidRPr="0012669D">
        <w:rPr>
          <w:rStyle w:val="extended-textshort"/>
          <w:rFonts w:ascii="Times New Roman" w:hAnsi="Times New Roman" w:cs="Times New Roman"/>
          <w:sz w:val="27"/>
          <w:szCs w:val="27"/>
        </w:rPr>
        <w:t xml:space="preserve"> </w:t>
      </w:r>
      <w:r w:rsidR="00C571D6" w:rsidRPr="0012669D">
        <w:rPr>
          <w:rStyle w:val="extended-textshort"/>
          <w:rFonts w:ascii="Times New Roman" w:hAnsi="Times New Roman" w:cs="Times New Roman"/>
          <w:bCs/>
          <w:sz w:val="27"/>
          <w:szCs w:val="27"/>
        </w:rPr>
        <w:t>информационно</w:t>
      </w:r>
      <w:r w:rsidR="00C571D6" w:rsidRPr="0012669D">
        <w:rPr>
          <w:rStyle w:val="extended-textshort"/>
          <w:rFonts w:ascii="Times New Roman" w:hAnsi="Times New Roman" w:cs="Times New Roman"/>
          <w:sz w:val="27"/>
          <w:szCs w:val="27"/>
        </w:rPr>
        <w:t>-</w:t>
      </w:r>
      <w:r w:rsidR="00C571D6" w:rsidRPr="0012669D">
        <w:rPr>
          <w:rStyle w:val="extended-textshort"/>
          <w:rFonts w:ascii="Times New Roman" w:hAnsi="Times New Roman" w:cs="Times New Roman"/>
          <w:bCs/>
          <w:sz w:val="27"/>
          <w:szCs w:val="27"/>
        </w:rPr>
        <w:t>статистическ</w:t>
      </w:r>
      <w:r w:rsidR="00F01752">
        <w:rPr>
          <w:rStyle w:val="extended-textshort"/>
          <w:rFonts w:ascii="Times New Roman" w:hAnsi="Times New Roman" w:cs="Times New Roman"/>
          <w:bCs/>
          <w:sz w:val="27"/>
          <w:szCs w:val="27"/>
        </w:rPr>
        <w:t>ой</w:t>
      </w:r>
      <w:r w:rsidR="00C571D6" w:rsidRPr="0012669D">
        <w:rPr>
          <w:rStyle w:val="extended-textshort"/>
          <w:rFonts w:ascii="Times New Roman" w:hAnsi="Times New Roman" w:cs="Times New Roman"/>
          <w:sz w:val="27"/>
          <w:szCs w:val="27"/>
        </w:rPr>
        <w:t xml:space="preserve"> систем</w:t>
      </w:r>
      <w:r w:rsidR="00F01752">
        <w:rPr>
          <w:rStyle w:val="extended-textshort"/>
          <w:rFonts w:ascii="Times New Roman" w:hAnsi="Times New Roman" w:cs="Times New Roman"/>
          <w:sz w:val="27"/>
          <w:szCs w:val="27"/>
        </w:rPr>
        <w:t>ы</w:t>
      </w:r>
      <w:r w:rsidR="00193B56" w:rsidRPr="0012669D">
        <w:rPr>
          <w:rStyle w:val="extended-textshort"/>
          <w:rFonts w:ascii="Times New Roman" w:hAnsi="Times New Roman" w:cs="Times New Roman"/>
          <w:sz w:val="27"/>
          <w:szCs w:val="27"/>
        </w:rPr>
        <w:t>, далее</w:t>
      </w:r>
      <w:r w:rsidR="00F01752">
        <w:rPr>
          <w:rStyle w:val="extended-textshort"/>
          <w:rFonts w:ascii="Times New Roman" w:hAnsi="Times New Roman" w:cs="Times New Roman"/>
          <w:sz w:val="27"/>
          <w:szCs w:val="27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C571D6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ЕМИСС);</w:t>
      </w:r>
    </w:p>
    <w:p w:rsidR="000D46AB" w:rsidRDefault="007503D5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СОЦДИ</w:t>
      </w:r>
      <w:r w:rsidRPr="00DD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1752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регламентно-профилактическому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ремонту систем кондиционирования и вентиляции (раз в 10 лет), техническому обслуживанию и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регламентно-профилактическому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регламентно-профилактическому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ремонту систем видеонаблюдения, техническому обслуживанию и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регламентно-профилактическому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ремонту систем канализации, наружного водопровода,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0D46AB" w:rsidRDefault="007503D5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УС</w:t>
      </w:r>
      <w:r w:rsidRPr="000D46A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0D46AB" w:rsidRPr="000D46A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6ED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0D46AB" w:rsidRDefault="004C6ED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lastRenderedPageBreak/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ТУ</w:t>
      </w:r>
      <w:r w:rsidRPr="00F017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46AB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0D46AB" w:rsidRDefault="004C6ED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46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ср </w:t>
      </w:r>
      <w:proofErr w:type="spellStart"/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учащ</w:t>
      </w:r>
      <w:proofErr w:type="spellEnd"/>
      <w:r w:rsidRPr="000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AB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среднее число учащихся в образовательной организации, оказывающей услуги по реализации дополнительных </w:t>
      </w:r>
      <w:proofErr w:type="spellStart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общеразвивающих</w:t>
      </w:r>
      <w:proofErr w:type="spellEnd"/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программ;</w:t>
      </w:r>
    </w:p>
    <w:p w:rsidR="000D46AB" w:rsidRDefault="004C6ED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46AB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V</w:t>
      </w:r>
      <w:r w:rsidRPr="000D46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год</w:t>
      </w:r>
      <w:r w:rsidR="00FD75B6" w:rsidRPr="000D46AB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1</w:t>
      </w:r>
      <w:r w:rsidR="000D46AB" w:rsidRPr="000D46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46AB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общий фонд учебного времени в год на организацию;</w:t>
      </w:r>
    </w:p>
    <w:p w:rsidR="000D46AB" w:rsidRDefault="00E07B1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752">
        <w:rPr>
          <w:rFonts w:ascii="Times New Roman" w:eastAsia="Times New Roman" w:hAnsi="Times New Roman" w:cs="Times New Roman"/>
          <w:b/>
          <w:sz w:val="28"/>
          <w:szCs w:val="27"/>
          <w:lang w:val="en-US" w:eastAsia="ru-RU"/>
        </w:rPr>
        <w:t>N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val="en-US" w:eastAsia="ru-RU"/>
        </w:rPr>
        <w:t>I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 xml:space="preserve"> ОТ2</w:t>
      </w:r>
      <w:r w:rsidR="000D46AB" w:rsidRPr="000D46A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46AB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0D46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 w:rsidR="0020631E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(административно-управленческого и вспомогательного персонала), включая</w:t>
      </w:r>
      <w:r w:rsidR="004C6ED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отчисления во внебюджетные фонды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рассчитываемые по формуле:</w:t>
      </w:r>
    </w:p>
    <w:p w:rsidR="000D46AB" w:rsidRDefault="004C6ED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46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ОТ2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ОТ1</w:t>
      </w:r>
      <w:r w:rsidR="000D46AB" w:rsidRPr="000D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0D46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АПУ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</w:t>
      </w:r>
    </w:p>
    <w:p w:rsidR="0012669D" w:rsidRPr="000D46AB" w:rsidRDefault="004C6ED0" w:rsidP="000D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F0175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К </w:t>
      </w:r>
      <w:r w:rsidRPr="00F01752">
        <w:rPr>
          <w:rFonts w:ascii="Times New Roman" w:eastAsia="Times New Roman" w:hAnsi="Times New Roman" w:cs="Times New Roman"/>
          <w:b/>
          <w:sz w:val="28"/>
          <w:szCs w:val="27"/>
          <w:vertAlign w:val="subscript"/>
          <w:lang w:eastAsia="ru-RU"/>
        </w:rPr>
        <w:t>АПУ</w:t>
      </w:r>
      <w:proofErr w:type="gramEnd"/>
      <w:r w:rsidR="000D46AB" w:rsidRPr="00DD2A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46AB" w:rsidRPr="00F0175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792F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 </w:t>
      </w:r>
      <w:r w:rsidR="000D46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предельной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доли </w:t>
      </w:r>
      <w:r w:rsidR="001C0D44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расходов на оплату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работников АУП </w:t>
      </w:r>
      <w:r w:rsidR="000D46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0D46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общему фонду оплаты труда</w:t>
      </w:r>
      <w:r w:rsidR="001C0D44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педагогических работников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Данный коэффициент устанавливается уполномоченным органом государственной власт</w:t>
      </w:r>
      <w:r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субъекта Российской Федерации и /или </w:t>
      </w:r>
      <w:r w:rsidR="00562940" w:rsidRPr="0012669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самоуправления.</w:t>
      </w:r>
    </w:p>
    <w:sectPr w:rsidR="0012669D" w:rsidRPr="000D46AB" w:rsidSect="0042717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52" w:rsidRDefault="00F01752" w:rsidP="00427172">
      <w:pPr>
        <w:spacing w:after="0" w:line="240" w:lineRule="auto"/>
      </w:pPr>
      <w:r>
        <w:separator/>
      </w:r>
    </w:p>
  </w:endnote>
  <w:endnote w:type="continuationSeparator" w:id="0">
    <w:p w:rsidR="00F01752" w:rsidRDefault="00F01752" w:rsidP="004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52" w:rsidRDefault="00F01752" w:rsidP="00427172">
      <w:pPr>
        <w:spacing w:after="0" w:line="240" w:lineRule="auto"/>
      </w:pPr>
      <w:r>
        <w:separator/>
      </w:r>
    </w:p>
  </w:footnote>
  <w:footnote w:type="continuationSeparator" w:id="0">
    <w:p w:rsidR="00F01752" w:rsidRDefault="00F01752" w:rsidP="004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24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1752" w:rsidRPr="00427172" w:rsidRDefault="00246E0A" w:rsidP="0042717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27172">
          <w:rPr>
            <w:rFonts w:ascii="Times New Roman" w:hAnsi="Times New Roman" w:cs="Times New Roman"/>
            <w:sz w:val="24"/>
          </w:rPr>
          <w:fldChar w:fldCharType="begin"/>
        </w:r>
        <w:r w:rsidR="00F01752" w:rsidRPr="0042717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7172">
          <w:rPr>
            <w:rFonts w:ascii="Times New Roman" w:hAnsi="Times New Roman" w:cs="Times New Roman"/>
            <w:sz w:val="24"/>
          </w:rPr>
          <w:fldChar w:fldCharType="separate"/>
        </w:r>
        <w:r w:rsidR="006B742E">
          <w:rPr>
            <w:rFonts w:ascii="Times New Roman" w:hAnsi="Times New Roman" w:cs="Times New Roman"/>
            <w:noProof/>
            <w:sz w:val="24"/>
          </w:rPr>
          <w:t>4</w:t>
        </w:r>
        <w:r w:rsidRPr="0042717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FC0"/>
    <w:multiLevelType w:val="hybridMultilevel"/>
    <w:tmpl w:val="CB4CAD06"/>
    <w:lvl w:ilvl="0" w:tplc="41D058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05F05"/>
    <w:multiLevelType w:val="hybridMultilevel"/>
    <w:tmpl w:val="1A3A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1B0"/>
    <w:multiLevelType w:val="hybridMultilevel"/>
    <w:tmpl w:val="6856476A"/>
    <w:lvl w:ilvl="0" w:tplc="2F44A286">
      <w:start w:val="1"/>
      <w:numFmt w:val="decimal"/>
      <w:suff w:val="space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1636"/>
    <w:multiLevelType w:val="hybridMultilevel"/>
    <w:tmpl w:val="A32E9C0C"/>
    <w:lvl w:ilvl="0" w:tplc="8542C5B8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4DF3"/>
    <w:multiLevelType w:val="hybridMultilevel"/>
    <w:tmpl w:val="6DF4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40"/>
    <w:rsid w:val="00005DAF"/>
    <w:rsid w:val="00036CF1"/>
    <w:rsid w:val="00082B3D"/>
    <w:rsid w:val="000A3539"/>
    <w:rsid w:val="000D46AB"/>
    <w:rsid w:val="000D5F41"/>
    <w:rsid w:val="000F4503"/>
    <w:rsid w:val="0012669D"/>
    <w:rsid w:val="00170FD7"/>
    <w:rsid w:val="00193B56"/>
    <w:rsid w:val="001C0D44"/>
    <w:rsid w:val="0020631E"/>
    <w:rsid w:val="00246E0A"/>
    <w:rsid w:val="00255BB4"/>
    <w:rsid w:val="002601AB"/>
    <w:rsid w:val="00266114"/>
    <w:rsid w:val="00294787"/>
    <w:rsid w:val="002B12D9"/>
    <w:rsid w:val="002E12A0"/>
    <w:rsid w:val="002E1BBF"/>
    <w:rsid w:val="002F038F"/>
    <w:rsid w:val="003248F0"/>
    <w:rsid w:val="003258BF"/>
    <w:rsid w:val="00333B6B"/>
    <w:rsid w:val="003A734D"/>
    <w:rsid w:val="003C3EF6"/>
    <w:rsid w:val="0042433B"/>
    <w:rsid w:val="00427172"/>
    <w:rsid w:val="00434E70"/>
    <w:rsid w:val="004668AE"/>
    <w:rsid w:val="00483AF4"/>
    <w:rsid w:val="004A380D"/>
    <w:rsid w:val="004A73F0"/>
    <w:rsid w:val="004C4AC2"/>
    <w:rsid w:val="004C6ED0"/>
    <w:rsid w:val="005234B7"/>
    <w:rsid w:val="00562940"/>
    <w:rsid w:val="005F6F4F"/>
    <w:rsid w:val="006952C8"/>
    <w:rsid w:val="006B742E"/>
    <w:rsid w:val="006C5DC8"/>
    <w:rsid w:val="006C70B1"/>
    <w:rsid w:val="00707524"/>
    <w:rsid w:val="00727B5C"/>
    <w:rsid w:val="00737868"/>
    <w:rsid w:val="007503D5"/>
    <w:rsid w:val="00754417"/>
    <w:rsid w:val="007730C1"/>
    <w:rsid w:val="00797428"/>
    <w:rsid w:val="007A24A8"/>
    <w:rsid w:val="0084724F"/>
    <w:rsid w:val="00847EA4"/>
    <w:rsid w:val="00872CD6"/>
    <w:rsid w:val="00881930"/>
    <w:rsid w:val="008E6227"/>
    <w:rsid w:val="008F46F8"/>
    <w:rsid w:val="00960766"/>
    <w:rsid w:val="00965D3F"/>
    <w:rsid w:val="00972CC6"/>
    <w:rsid w:val="00A7322A"/>
    <w:rsid w:val="00A767F0"/>
    <w:rsid w:val="00A77795"/>
    <w:rsid w:val="00A95C32"/>
    <w:rsid w:val="00AB3300"/>
    <w:rsid w:val="00AE79E6"/>
    <w:rsid w:val="00B035AA"/>
    <w:rsid w:val="00B57063"/>
    <w:rsid w:val="00B82923"/>
    <w:rsid w:val="00BC156E"/>
    <w:rsid w:val="00BD2C2C"/>
    <w:rsid w:val="00C31621"/>
    <w:rsid w:val="00C571D6"/>
    <w:rsid w:val="00CD792F"/>
    <w:rsid w:val="00CE53B1"/>
    <w:rsid w:val="00D44B66"/>
    <w:rsid w:val="00DA2B09"/>
    <w:rsid w:val="00DD2A50"/>
    <w:rsid w:val="00E07B10"/>
    <w:rsid w:val="00E1244A"/>
    <w:rsid w:val="00E25317"/>
    <w:rsid w:val="00E53843"/>
    <w:rsid w:val="00EA2980"/>
    <w:rsid w:val="00EA7ADD"/>
    <w:rsid w:val="00F01752"/>
    <w:rsid w:val="00FC0B0E"/>
    <w:rsid w:val="00FD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paragraph" w:styleId="2">
    <w:name w:val="heading 2"/>
    <w:basedOn w:val="a"/>
    <w:link w:val="20"/>
    <w:uiPriority w:val="9"/>
    <w:qFormat/>
    <w:rsid w:val="00562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2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2940"/>
    <w:rPr>
      <w:color w:val="0000FF"/>
      <w:u w:val="single"/>
    </w:rPr>
  </w:style>
  <w:style w:type="paragraph" w:customStyle="1" w:styleId="headertext">
    <w:name w:val="headertext"/>
    <w:basedOn w:val="a"/>
    <w:rsid w:val="0056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7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-textshort">
    <w:name w:val="extended-text__short"/>
    <w:basedOn w:val="a0"/>
    <w:rsid w:val="006C70B1"/>
  </w:style>
  <w:style w:type="paragraph" w:customStyle="1" w:styleId="Default">
    <w:name w:val="Default"/>
    <w:rsid w:val="00C31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172"/>
  </w:style>
  <w:style w:type="paragraph" w:styleId="a8">
    <w:name w:val="footer"/>
    <w:basedOn w:val="a"/>
    <w:link w:val="a9"/>
    <w:uiPriority w:val="99"/>
    <w:semiHidden/>
    <w:unhideWhenUsed/>
    <w:rsid w:val="0042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172"/>
  </w:style>
  <w:style w:type="paragraph" w:styleId="aa">
    <w:name w:val="List Paragraph"/>
    <w:basedOn w:val="a"/>
    <w:uiPriority w:val="34"/>
    <w:qFormat/>
    <w:rsid w:val="00427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1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6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67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06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85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8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21</cp:revision>
  <cp:lastPrinted>2020-04-06T09:04:00Z</cp:lastPrinted>
  <dcterms:created xsi:type="dcterms:W3CDTF">2020-03-03T12:11:00Z</dcterms:created>
  <dcterms:modified xsi:type="dcterms:W3CDTF">2020-04-15T06:35:00Z</dcterms:modified>
</cp:coreProperties>
</file>