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295" w:rsidRPr="00AD5525" w:rsidRDefault="00E54295" w:rsidP="00E54295">
      <w:pPr>
        <w:widowControl w:val="0"/>
        <w:autoSpaceDE w:val="0"/>
        <w:autoSpaceDN w:val="0"/>
        <w:adjustRightInd w:val="0"/>
        <w:spacing w:after="0"/>
        <w:ind w:left="5103"/>
        <w:jc w:val="right"/>
        <w:rPr>
          <w:rFonts w:ascii="Times New Roman" w:hAnsi="Times New Roman" w:cs="Times New Roman"/>
          <w:bCs/>
          <w:sz w:val="24"/>
          <w:szCs w:val="24"/>
        </w:rPr>
      </w:pPr>
      <w:r w:rsidRPr="00AD5525">
        <w:rPr>
          <w:rFonts w:ascii="Times New Roman" w:hAnsi="Times New Roman" w:cs="Times New Roman"/>
          <w:bCs/>
          <w:sz w:val="24"/>
          <w:szCs w:val="24"/>
        </w:rPr>
        <w:t>Приложение 1</w:t>
      </w:r>
    </w:p>
    <w:p w:rsidR="00E54295" w:rsidRPr="00AD5525" w:rsidRDefault="00E54295" w:rsidP="00E54295">
      <w:pPr>
        <w:widowControl w:val="0"/>
        <w:autoSpaceDE w:val="0"/>
        <w:autoSpaceDN w:val="0"/>
        <w:adjustRightInd w:val="0"/>
        <w:spacing w:after="0"/>
        <w:ind w:left="5103"/>
        <w:jc w:val="right"/>
        <w:rPr>
          <w:rFonts w:ascii="Times New Roman" w:hAnsi="Times New Roman" w:cs="Times New Roman"/>
          <w:bCs/>
          <w:sz w:val="24"/>
          <w:szCs w:val="24"/>
        </w:rPr>
      </w:pPr>
      <w:r w:rsidRPr="00AD5525">
        <w:rPr>
          <w:rFonts w:ascii="Times New Roman" w:hAnsi="Times New Roman" w:cs="Times New Roman"/>
          <w:bCs/>
          <w:sz w:val="24"/>
          <w:szCs w:val="24"/>
        </w:rPr>
        <w:t>к Порядку проведения мониторинга качества финансового менеджмента</w:t>
      </w:r>
    </w:p>
    <w:p w:rsidR="00E54295" w:rsidRPr="007A58CB" w:rsidRDefault="00E54295" w:rsidP="00E54295">
      <w:pPr>
        <w:widowControl w:val="0"/>
        <w:autoSpaceDE w:val="0"/>
        <w:autoSpaceDN w:val="0"/>
        <w:adjustRightInd w:val="0"/>
        <w:jc w:val="center"/>
        <w:rPr>
          <w:rFonts w:ascii="Times New Roman" w:hAnsi="Times New Roman" w:cs="Times New Roman"/>
          <w:b/>
          <w:bCs/>
          <w:sz w:val="28"/>
          <w:szCs w:val="28"/>
        </w:rPr>
      </w:pPr>
      <w:bookmarkStart w:id="0" w:name="P145"/>
      <w:bookmarkEnd w:id="0"/>
    </w:p>
    <w:p w:rsidR="00E54295" w:rsidRPr="007A58CB" w:rsidRDefault="00E54295" w:rsidP="00E54295">
      <w:pPr>
        <w:widowControl w:val="0"/>
        <w:autoSpaceDE w:val="0"/>
        <w:autoSpaceDN w:val="0"/>
        <w:adjustRightInd w:val="0"/>
        <w:jc w:val="center"/>
        <w:rPr>
          <w:rFonts w:ascii="Times New Roman" w:hAnsi="Times New Roman" w:cs="Times New Roman"/>
          <w:b/>
          <w:bCs/>
          <w:sz w:val="28"/>
          <w:szCs w:val="28"/>
        </w:rPr>
      </w:pPr>
      <w:r w:rsidRPr="007A58CB">
        <w:rPr>
          <w:rFonts w:ascii="Times New Roman" w:hAnsi="Times New Roman" w:cs="Times New Roman"/>
          <w:b/>
          <w:bCs/>
          <w:sz w:val="28"/>
          <w:szCs w:val="28"/>
        </w:rPr>
        <w:t>СВЕДЕНИЯ</w:t>
      </w:r>
    </w:p>
    <w:p w:rsidR="00E54295" w:rsidRPr="007A58CB" w:rsidRDefault="00E54295" w:rsidP="00E54295">
      <w:pPr>
        <w:widowControl w:val="0"/>
        <w:autoSpaceDE w:val="0"/>
        <w:autoSpaceDN w:val="0"/>
        <w:adjustRightInd w:val="0"/>
        <w:jc w:val="center"/>
        <w:rPr>
          <w:rFonts w:ascii="Times New Roman" w:hAnsi="Times New Roman" w:cs="Times New Roman"/>
          <w:b/>
          <w:bCs/>
          <w:sz w:val="28"/>
          <w:szCs w:val="28"/>
        </w:rPr>
      </w:pPr>
      <w:r w:rsidRPr="007A58CB">
        <w:rPr>
          <w:rFonts w:ascii="Times New Roman" w:hAnsi="Times New Roman" w:cs="Times New Roman"/>
          <w:b/>
          <w:bCs/>
          <w:sz w:val="28"/>
          <w:szCs w:val="28"/>
        </w:rPr>
        <w:t>для проведения мониторинга качества финансового менеджмента</w:t>
      </w:r>
    </w:p>
    <w:p w:rsidR="00E54295" w:rsidRPr="007A58CB" w:rsidRDefault="00E54295" w:rsidP="00E54295">
      <w:pPr>
        <w:widowControl w:val="0"/>
        <w:autoSpaceDE w:val="0"/>
        <w:autoSpaceDN w:val="0"/>
        <w:adjustRightInd w:val="0"/>
        <w:jc w:val="center"/>
        <w:rPr>
          <w:rFonts w:ascii="Times New Roman" w:hAnsi="Times New Roman" w:cs="Times New Roman"/>
          <w:b/>
          <w:bCs/>
          <w:sz w:val="28"/>
          <w:szCs w:val="28"/>
        </w:rPr>
      </w:pPr>
      <w:r w:rsidRPr="007A58CB">
        <w:rPr>
          <w:rFonts w:ascii="Times New Roman" w:hAnsi="Times New Roman" w:cs="Times New Roman"/>
          <w:b/>
          <w:bCs/>
          <w:sz w:val="28"/>
          <w:szCs w:val="28"/>
        </w:rPr>
        <w:t>____________________________________________________</w:t>
      </w:r>
    </w:p>
    <w:p w:rsidR="00E54295" w:rsidRPr="007A58CB" w:rsidRDefault="00E54295" w:rsidP="00E54295">
      <w:pPr>
        <w:widowControl w:val="0"/>
        <w:autoSpaceDE w:val="0"/>
        <w:autoSpaceDN w:val="0"/>
        <w:adjustRightInd w:val="0"/>
        <w:jc w:val="center"/>
        <w:rPr>
          <w:rFonts w:ascii="Times New Roman" w:hAnsi="Times New Roman" w:cs="Times New Roman"/>
          <w:bCs/>
          <w:i/>
          <w:sz w:val="24"/>
          <w:szCs w:val="24"/>
        </w:rPr>
      </w:pPr>
      <w:r w:rsidRPr="007A58CB">
        <w:rPr>
          <w:rFonts w:ascii="Times New Roman" w:hAnsi="Times New Roman" w:cs="Times New Roman"/>
          <w:bCs/>
          <w:i/>
          <w:sz w:val="24"/>
          <w:szCs w:val="24"/>
        </w:rPr>
        <w:t>(наименование главного администратора бюджетных средств)</w:t>
      </w:r>
    </w:p>
    <w:p w:rsidR="00E54295" w:rsidRPr="007A58CB" w:rsidRDefault="00E54295" w:rsidP="00E54295">
      <w:pPr>
        <w:widowControl w:val="0"/>
        <w:autoSpaceDE w:val="0"/>
        <w:autoSpaceDN w:val="0"/>
        <w:adjustRightInd w:val="0"/>
        <w:jc w:val="center"/>
        <w:rPr>
          <w:rFonts w:ascii="Times New Roman" w:hAnsi="Times New Roman" w:cs="Times New Roman"/>
          <w:b/>
          <w:bCs/>
          <w:sz w:val="28"/>
          <w:szCs w:val="28"/>
        </w:rPr>
      </w:pPr>
      <w:r w:rsidRPr="007A58CB">
        <w:rPr>
          <w:rFonts w:ascii="Times New Roman" w:hAnsi="Times New Roman" w:cs="Times New Roman"/>
          <w:b/>
          <w:bCs/>
          <w:sz w:val="28"/>
          <w:szCs w:val="28"/>
        </w:rPr>
        <w:t>_____________________________________________________</w:t>
      </w:r>
    </w:p>
    <w:p w:rsidR="00E54295" w:rsidRPr="007A58CB" w:rsidRDefault="00E54295" w:rsidP="00E54295">
      <w:pPr>
        <w:widowControl w:val="0"/>
        <w:autoSpaceDE w:val="0"/>
        <w:autoSpaceDN w:val="0"/>
        <w:adjustRightInd w:val="0"/>
        <w:jc w:val="center"/>
        <w:rPr>
          <w:rFonts w:ascii="Times New Roman" w:hAnsi="Times New Roman" w:cs="Times New Roman"/>
          <w:bCs/>
          <w:i/>
          <w:sz w:val="24"/>
          <w:szCs w:val="24"/>
        </w:rPr>
      </w:pPr>
      <w:r w:rsidRPr="007A58CB">
        <w:rPr>
          <w:rFonts w:ascii="Times New Roman" w:hAnsi="Times New Roman" w:cs="Times New Roman"/>
          <w:bCs/>
          <w:i/>
          <w:sz w:val="24"/>
          <w:szCs w:val="24"/>
        </w:rPr>
        <w:t>(наименование местного бюджета)</w:t>
      </w:r>
    </w:p>
    <w:tbl>
      <w:tblPr>
        <w:tblW w:w="10065"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2"/>
        <w:gridCol w:w="6523"/>
        <w:gridCol w:w="1556"/>
        <w:gridCol w:w="1134"/>
      </w:tblGrid>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Номер строки</w:t>
            </w:r>
          </w:p>
        </w:tc>
        <w:tc>
          <w:tcPr>
            <w:tcW w:w="6523"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Наименование параметра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Единица измерения</w:t>
            </w:r>
          </w:p>
        </w:tc>
        <w:tc>
          <w:tcPr>
            <w:tcW w:w="1134"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Значение параметра</w:t>
            </w:r>
          </w:p>
        </w:tc>
      </w:tr>
      <w:tr w:rsidR="00E54295" w:rsidRPr="003E31F3" w:rsidTr="00AD5525">
        <w:trPr>
          <w:tblHeader/>
        </w:trPr>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w:t>
            </w:r>
          </w:p>
        </w:tc>
        <w:tc>
          <w:tcPr>
            <w:tcW w:w="6523"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w:t>
            </w:r>
          </w:p>
        </w:tc>
        <w:tc>
          <w:tcPr>
            <w:tcW w:w="1134"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w:t>
            </w: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бюджетных ассигнований на финансовое обеспечение реализации муниципальных программ, разрабатываемых и реализуемых главным распорядителем бюджетных средств (в том числе реализуемых подведомственными муниципальными учреждениями</w:t>
            </w:r>
            <w:r>
              <w:rPr>
                <w:rFonts w:ascii="Times New Roman" w:hAnsi="Times New Roman" w:cs="Times New Roman"/>
                <w:sz w:val="20"/>
                <w:szCs w:val="20"/>
              </w:rPr>
              <w:t>,</w:t>
            </w:r>
            <w:r w:rsidRPr="003E31F3">
              <w:rPr>
                <w:rFonts w:ascii="Times New Roman" w:hAnsi="Times New Roman" w:cs="Times New Roman"/>
                <w:sz w:val="20"/>
                <w:szCs w:val="20"/>
              </w:rPr>
              <w:t xml:space="preserve"> являющимися ответственными исполнителями муниципальных программ) (далее – ГРБС), на год, следующий </w:t>
            </w:r>
            <w:proofErr w:type="gramStart"/>
            <w:r w:rsidRPr="003E31F3">
              <w:rPr>
                <w:rFonts w:ascii="Times New Roman" w:hAnsi="Times New Roman" w:cs="Times New Roman"/>
                <w:sz w:val="20"/>
                <w:szCs w:val="20"/>
              </w:rPr>
              <w:t>за</w:t>
            </w:r>
            <w:proofErr w:type="gramEnd"/>
            <w:r w:rsidRPr="003E31F3">
              <w:rPr>
                <w:rFonts w:ascii="Times New Roman" w:hAnsi="Times New Roman" w:cs="Times New Roman"/>
                <w:sz w:val="20"/>
                <w:szCs w:val="20"/>
              </w:rPr>
              <w:t xml:space="preserve"> отчетным, в соответствии с решением о бюджете </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Объем бюджетных ассигнований ГРБС по сводной бюджетной росписи по состоянию на начало года, следующего за </w:t>
            </w:r>
            <w:proofErr w:type="gramStart"/>
            <w:r w:rsidRPr="003E31F3">
              <w:rPr>
                <w:rFonts w:ascii="Times New Roman" w:hAnsi="Times New Roman" w:cs="Times New Roman"/>
                <w:sz w:val="20"/>
                <w:szCs w:val="20"/>
              </w:rPr>
              <w:t>отчетным</w:t>
            </w:r>
            <w:proofErr w:type="gramEnd"/>
            <w:r>
              <w:rPr>
                <w:rFonts w:ascii="Times New Roman" w:hAnsi="Times New Roman" w:cs="Times New Roman"/>
                <w:sz w:val="20"/>
                <w:szCs w:val="20"/>
              </w:rPr>
              <w:t xml:space="preserve">. </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rPr>
          <w:trHeight w:val="1199"/>
        </w:trPr>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roofErr w:type="gramStart"/>
            <w:r w:rsidRPr="003E31F3">
              <w:rPr>
                <w:rFonts w:ascii="Times New Roman" w:hAnsi="Times New Roman" w:cs="Times New Roman"/>
                <w:sz w:val="20"/>
                <w:szCs w:val="20"/>
              </w:rPr>
              <w:t xml:space="preserve">Реквизиты, наименование постановления администрации </w:t>
            </w:r>
            <w:r w:rsidR="00EB07CF">
              <w:rPr>
                <w:rFonts w:ascii="Times New Roman" w:hAnsi="Times New Roman" w:cs="Times New Roman"/>
                <w:sz w:val="20"/>
                <w:szCs w:val="20"/>
              </w:rPr>
              <w:t>МО «Ленский</w:t>
            </w:r>
            <w:r>
              <w:rPr>
                <w:rFonts w:ascii="Times New Roman" w:hAnsi="Times New Roman" w:cs="Times New Roman"/>
                <w:sz w:val="20"/>
                <w:szCs w:val="20"/>
              </w:rPr>
              <w:t xml:space="preserve"> муниципальный </w:t>
            </w:r>
            <w:r w:rsidRPr="003E31F3">
              <w:rPr>
                <w:rFonts w:ascii="Times New Roman" w:hAnsi="Times New Roman" w:cs="Times New Roman"/>
                <w:sz w:val="20"/>
                <w:szCs w:val="20"/>
              </w:rPr>
              <w:t>район</w:t>
            </w:r>
            <w:r>
              <w:rPr>
                <w:rFonts w:ascii="Times New Roman" w:hAnsi="Times New Roman" w:cs="Times New Roman"/>
                <w:sz w:val="20"/>
                <w:szCs w:val="20"/>
              </w:rPr>
              <w:t>»</w:t>
            </w:r>
            <w:r w:rsidRPr="003E31F3">
              <w:rPr>
                <w:rFonts w:ascii="Times New Roman" w:hAnsi="Times New Roman" w:cs="Times New Roman"/>
                <w:sz w:val="20"/>
                <w:szCs w:val="20"/>
              </w:rPr>
              <w:t xml:space="preserve"> о внесении изменений в году, следующем за отчетным, в муниципальную программу, разрабатываемую и реализуемую ГРБС, с целью приведения ее в соответствие с решением о бюджете (в случае необходимости) </w:t>
            </w:r>
            <w:proofErr w:type="gramEnd"/>
          </w:p>
        </w:tc>
        <w:tc>
          <w:tcPr>
            <w:tcW w:w="1556" w:type="dxa"/>
            <w:tcMar>
              <w:top w:w="0" w:type="dxa"/>
              <w:bottom w:w="0" w:type="dxa"/>
            </w:tcMar>
          </w:tcPr>
          <w:p w:rsidR="00E54295" w:rsidRPr="003E31F3" w:rsidRDefault="00E54295" w:rsidP="00AD5525">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дата, номер, наименование постановления</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Размещение на официальном сайте администрации </w:t>
            </w:r>
            <w:r w:rsidR="00EB07CF">
              <w:rPr>
                <w:rFonts w:ascii="Times New Roman" w:hAnsi="Times New Roman" w:cs="Times New Roman"/>
                <w:sz w:val="20"/>
                <w:szCs w:val="20"/>
              </w:rPr>
              <w:t xml:space="preserve">МО «Ленский </w:t>
            </w:r>
            <w:r>
              <w:rPr>
                <w:rFonts w:ascii="Times New Roman" w:hAnsi="Times New Roman" w:cs="Times New Roman"/>
                <w:sz w:val="20"/>
                <w:szCs w:val="20"/>
              </w:rPr>
              <w:t xml:space="preserve">муниципальный </w:t>
            </w:r>
            <w:r w:rsidRPr="003E31F3">
              <w:rPr>
                <w:rFonts w:ascii="Times New Roman" w:hAnsi="Times New Roman" w:cs="Times New Roman"/>
                <w:sz w:val="20"/>
                <w:szCs w:val="20"/>
              </w:rPr>
              <w:t>район</w:t>
            </w:r>
            <w:r>
              <w:rPr>
                <w:rFonts w:ascii="Times New Roman" w:hAnsi="Times New Roman" w:cs="Times New Roman"/>
                <w:sz w:val="20"/>
                <w:szCs w:val="20"/>
              </w:rPr>
              <w:t xml:space="preserve">» </w:t>
            </w:r>
            <w:r w:rsidRPr="003E31F3">
              <w:rPr>
                <w:rFonts w:ascii="Times New Roman" w:hAnsi="Times New Roman" w:cs="Times New Roman"/>
                <w:sz w:val="20"/>
                <w:szCs w:val="20"/>
              </w:rPr>
              <w:t>в информационно-телекоммуникационной сети «Интернет» муниципальных программ, разрабатываемых и реализуемых ГРБС (в актуальной редакции), на момент проведения мониторинга качества финансового менеджмента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адрес размещения на официальном сайте (прямая ссылка на документ)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5.</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Размещение на официальном сайте администрации </w:t>
            </w:r>
            <w:r w:rsidR="00EB07CF">
              <w:rPr>
                <w:rFonts w:ascii="Times New Roman" w:hAnsi="Times New Roman" w:cs="Times New Roman"/>
                <w:sz w:val="20"/>
                <w:szCs w:val="20"/>
              </w:rPr>
              <w:t>МО «Ленский</w:t>
            </w:r>
            <w:r>
              <w:rPr>
                <w:rFonts w:ascii="Times New Roman" w:hAnsi="Times New Roman" w:cs="Times New Roman"/>
                <w:sz w:val="20"/>
                <w:szCs w:val="20"/>
              </w:rPr>
              <w:t xml:space="preserve"> муниципальный </w:t>
            </w:r>
            <w:r w:rsidRPr="003E31F3">
              <w:rPr>
                <w:rFonts w:ascii="Times New Roman" w:hAnsi="Times New Roman" w:cs="Times New Roman"/>
                <w:sz w:val="20"/>
                <w:szCs w:val="20"/>
              </w:rPr>
              <w:t>район</w:t>
            </w:r>
            <w:r>
              <w:rPr>
                <w:rFonts w:ascii="Times New Roman" w:hAnsi="Times New Roman" w:cs="Times New Roman"/>
                <w:sz w:val="20"/>
                <w:szCs w:val="20"/>
              </w:rPr>
              <w:t xml:space="preserve">» </w:t>
            </w:r>
            <w:r w:rsidRPr="003E31F3">
              <w:rPr>
                <w:rFonts w:ascii="Times New Roman" w:hAnsi="Times New Roman" w:cs="Times New Roman"/>
                <w:sz w:val="20"/>
                <w:szCs w:val="20"/>
              </w:rPr>
              <w:t>в информационно-телекоммуникационной сети «Интернет» отчетов о реализации муниципальных программ, разрабатываемых и реализуемых ГРБС, по итогам отчетного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адрес размещения на официальном сайте (прямая ссылка на документ)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6.</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кредиторской задолженности ГРБС, включая кредиторскую задолженность находящихся в его ведении муниципальных казенных учреждений, по состоянию на 1 января отчетного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7.</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кредиторской задолженности ГРБС, включая кредиторскую задолженность находящихся в его ведении муниципальных казенных учреждений, по состоянию на 1 января года, следующего за </w:t>
            </w:r>
            <w:proofErr w:type="gramStart"/>
            <w:r w:rsidRPr="003E31F3">
              <w:rPr>
                <w:rFonts w:ascii="Times New Roman" w:hAnsi="Times New Roman" w:cs="Times New Roman"/>
                <w:sz w:val="20"/>
                <w:szCs w:val="20"/>
              </w:rPr>
              <w:t>отчетным</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lastRenderedPageBreak/>
              <w:t>8.</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дебиторской задолженности в части расчетов с дебиторами по расходам по состоянию на 1 января отчетного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9.</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Объем просроченной дебиторской задолженности в части расчетов с дебиторами по расходам по состоянию на 1 января года, следующего </w:t>
            </w:r>
            <w:proofErr w:type="gramStart"/>
            <w:r w:rsidRPr="003E31F3">
              <w:rPr>
                <w:rFonts w:ascii="Times New Roman" w:hAnsi="Times New Roman" w:cs="Times New Roman"/>
                <w:sz w:val="20"/>
                <w:szCs w:val="20"/>
              </w:rPr>
              <w:t>за</w:t>
            </w:r>
            <w:proofErr w:type="gramEnd"/>
            <w:r w:rsidRPr="003E31F3">
              <w:rPr>
                <w:rFonts w:ascii="Times New Roman" w:hAnsi="Times New Roman" w:cs="Times New Roman"/>
                <w:sz w:val="20"/>
                <w:szCs w:val="20"/>
              </w:rPr>
              <w:t> отчетным</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10.</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Кассовое исполнение местного бюджета по налоговым и неналоговым доходам в отчетном финансовом году главного администратора доходов бюджета </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11.</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Прогноз объема налоговых и неналоговых доходов, </w:t>
            </w:r>
            <w:proofErr w:type="spellStart"/>
            <w:r w:rsidRPr="003E31F3">
              <w:rPr>
                <w:rFonts w:ascii="Times New Roman" w:hAnsi="Times New Roman" w:cs="Times New Roman"/>
                <w:sz w:val="20"/>
                <w:szCs w:val="20"/>
              </w:rPr>
              <w:t>администрируемых</w:t>
            </w:r>
            <w:proofErr w:type="spellEnd"/>
            <w:r w:rsidRPr="003E31F3">
              <w:rPr>
                <w:rFonts w:ascii="Times New Roman" w:hAnsi="Times New Roman" w:cs="Times New Roman"/>
                <w:sz w:val="20"/>
                <w:szCs w:val="20"/>
              </w:rPr>
              <w:t xml:space="preserve"> главным администратором доходов бюджета, учтенный в составе прогноза налоговых и неналоговых доходов местного бюджета на отчетный финансовый год (без учета изменений и дополнений, внесенных в течение отчетного периода)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12.</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Объем просроченной дебиторской задолженности по </w:t>
            </w:r>
            <w:proofErr w:type="spellStart"/>
            <w:r w:rsidRPr="003E31F3">
              <w:rPr>
                <w:rFonts w:ascii="Times New Roman" w:hAnsi="Times New Roman" w:cs="Times New Roman"/>
                <w:sz w:val="20"/>
                <w:szCs w:val="20"/>
              </w:rPr>
              <w:t>администрируемым</w:t>
            </w:r>
            <w:proofErr w:type="spellEnd"/>
            <w:r w:rsidRPr="003E31F3">
              <w:rPr>
                <w:rFonts w:ascii="Times New Roman" w:hAnsi="Times New Roman" w:cs="Times New Roman"/>
                <w:sz w:val="20"/>
                <w:szCs w:val="20"/>
              </w:rPr>
              <w:t xml:space="preserve"> доходам местного бюджета (без учета безвозмездных поступлений) на начало отчетного года, главного администратора доходов бюджета </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13.</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Объем просроченной дебиторской задолженности по </w:t>
            </w:r>
            <w:proofErr w:type="spellStart"/>
            <w:r w:rsidRPr="003E31F3">
              <w:rPr>
                <w:rFonts w:ascii="Times New Roman" w:hAnsi="Times New Roman" w:cs="Times New Roman"/>
                <w:sz w:val="20"/>
                <w:szCs w:val="20"/>
              </w:rPr>
              <w:t>администрируемым</w:t>
            </w:r>
            <w:proofErr w:type="spellEnd"/>
            <w:r w:rsidRPr="003E31F3">
              <w:rPr>
                <w:rFonts w:ascii="Times New Roman" w:hAnsi="Times New Roman" w:cs="Times New Roman"/>
                <w:sz w:val="20"/>
                <w:szCs w:val="20"/>
              </w:rPr>
              <w:t xml:space="preserve"> доходам местного бюджета (без учета безвозмездных поступлений) на конец отчетного года главного администратора доходов  бюджета </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14.</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Количество направленных извещений о начислениях в государственную информационную систему о государственных и муниципальных платежах по закрепленным доходным источникам местного бюджета, </w:t>
            </w:r>
            <w:proofErr w:type="spellStart"/>
            <w:r w:rsidRPr="003E31F3">
              <w:rPr>
                <w:rFonts w:ascii="Times New Roman" w:hAnsi="Times New Roman" w:cs="Times New Roman"/>
                <w:sz w:val="20"/>
                <w:szCs w:val="20"/>
              </w:rPr>
              <w:t>администрируемым</w:t>
            </w:r>
            <w:proofErr w:type="spellEnd"/>
            <w:r w:rsidRPr="003E31F3">
              <w:rPr>
                <w:rFonts w:ascii="Times New Roman" w:hAnsi="Times New Roman" w:cs="Times New Roman"/>
                <w:sz w:val="20"/>
                <w:szCs w:val="20"/>
              </w:rPr>
              <w:t xml:space="preserve"> главными администраторами доходов бюджета, по состоянию на 1 января года, следующего </w:t>
            </w:r>
            <w:proofErr w:type="gramStart"/>
            <w:r w:rsidRPr="003E31F3">
              <w:rPr>
                <w:rFonts w:ascii="Times New Roman" w:hAnsi="Times New Roman" w:cs="Times New Roman"/>
                <w:sz w:val="20"/>
                <w:szCs w:val="20"/>
              </w:rPr>
              <w:t>за</w:t>
            </w:r>
            <w:proofErr w:type="gramEnd"/>
            <w:r w:rsidRPr="003E31F3">
              <w:rPr>
                <w:rFonts w:ascii="Times New Roman" w:hAnsi="Times New Roman" w:cs="Times New Roman"/>
                <w:sz w:val="20"/>
                <w:szCs w:val="20"/>
              </w:rPr>
              <w:t xml:space="preserve"> отчетным</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15.</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Общее количество начислений по закрепленным доходным источникам местного бюджета, подлежащих передаче в государственную информационную систему о государственных и муниципальных платежах, </w:t>
            </w:r>
            <w:proofErr w:type="spellStart"/>
            <w:r w:rsidRPr="003E31F3">
              <w:rPr>
                <w:rFonts w:ascii="Times New Roman" w:hAnsi="Times New Roman" w:cs="Times New Roman"/>
                <w:sz w:val="20"/>
                <w:szCs w:val="20"/>
              </w:rPr>
              <w:t>администрируемым</w:t>
            </w:r>
            <w:proofErr w:type="spellEnd"/>
            <w:r w:rsidRPr="003E31F3">
              <w:rPr>
                <w:rFonts w:ascii="Times New Roman" w:hAnsi="Times New Roman" w:cs="Times New Roman"/>
                <w:sz w:val="20"/>
                <w:szCs w:val="20"/>
              </w:rPr>
              <w:t xml:space="preserve"> главными администраторами доходов бюджета, по состоянию на 1 января года, следующего </w:t>
            </w:r>
            <w:proofErr w:type="gramStart"/>
            <w:r w:rsidRPr="003E31F3">
              <w:rPr>
                <w:rFonts w:ascii="Times New Roman" w:hAnsi="Times New Roman" w:cs="Times New Roman"/>
                <w:sz w:val="20"/>
                <w:szCs w:val="20"/>
              </w:rPr>
              <w:t>за</w:t>
            </w:r>
            <w:proofErr w:type="gramEnd"/>
            <w:r w:rsidRPr="003E31F3">
              <w:rPr>
                <w:rFonts w:ascii="Times New Roman" w:hAnsi="Times New Roman" w:cs="Times New Roman"/>
                <w:sz w:val="20"/>
                <w:szCs w:val="20"/>
              </w:rPr>
              <w:t xml:space="preserve"> отчетным</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16.</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Правовой акт главного администратора доходов бюджета, утверждающий методику прогнозирования поступлений доходов</w:t>
            </w:r>
            <w:hyperlink w:anchor="P381" w:history="1">
              <w:r w:rsidRPr="003E31F3">
                <w:rPr>
                  <w:rFonts w:ascii="Times New Roman" w:hAnsi="Times New Roman" w:cs="Times New Roman"/>
                  <w:sz w:val="20"/>
                  <w:szCs w:val="20"/>
                  <w:vertAlign w:val="superscript"/>
                </w:rPr>
                <w:t>1</w:t>
              </w:r>
            </w:hyperlink>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17.</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roofErr w:type="gramStart"/>
            <w:r w:rsidRPr="003E31F3">
              <w:rPr>
                <w:rFonts w:ascii="Times New Roman" w:hAnsi="Times New Roman" w:cs="Times New Roman"/>
                <w:sz w:val="20"/>
                <w:szCs w:val="20"/>
              </w:rPr>
              <w:t>Сумма невыясненных поступлений, зачисляемых в местный бюджет на лицевой счет администратора доходов бюджета, по которой в отчетном году главным администратором доходов бюджета произведено уточнение вида и принадлежности платежа в срок, не превышающий 10 рабочих дней</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bCs/>
                <w:sz w:val="20"/>
                <w:szCs w:val="20"/>
              </w:rPr>
            </w:pPr>
            <w:r w:rsidRPr="003E31F3">
              <w:rPr>
                <w:rFonts w:ascii="Times New Roman" w:hAnsi="Times New Roman" w:cs="Times New Roman"/>
                <w:bCs/>
                <w:sz w:val="20"/>
                <w:szCs w:val="20"/>
              </w:rPr>
              <w:t>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bCs/>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18.</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Сумма доходов, отнесенных к невыясненным поступлениям, зачисляемым в местный бюджет на лицевой счет администратора доходов бюджета, в отчетном году с учетом остатков, </w:t>
            </w:r>
            <w:proofErr w:type="spellStart"/>
            <w:r w:rsidRPr="003E31F3">
              <w:rPr>
                <w:rFonts w:ascii="Times New Roman" w:hAnsi="Times New Roman" w:cs="Times New Roman"/>
                <w:sz w:val="20"/>
                <w:szCs w:val="20"/>
              </w:rPr>
              <w:t>неуточненных</w:t>
            </w:r>
            <w:proofErr w:type="spellEnd"/>
            <w:r w:rsidRPr="003E31F3">
              <w:rPr>
                <w:rFonts w:ascii="Times New Roman" w:hAnsi="Times New Roman" w:cs="Times New Roman"/>
                <w:sz w:val="20"/>
                <w:szCs w:val="20"/>
              </w:rPr>
              <w:t xml:space="preserve"> на 1 января отчетного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bCs/>
                <w:sz w:val="20"/>
                <w:szCs w:val="20"/>
              </w:rPr>
            </w:pPr>
            <w:r w:rsidRPr="003E31F3">
              <w:rPr>
                <w:rFonts w:ascii="Times New Roman" w:hAnsi="Times New Roman" w:cs="Times New Roman"/>
                <w:bCs/>
                <w:sz w:val="20"/>
                <w:szCs w:val="20"/>
              </w:rPr>
              <w:t>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bCs/>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19.</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платежных документов, отнесенных к невыясненным поступлениям, зачисляемым в местный бюджет на лицевой счет администратора доходов бюджета, по которым в отчетном году главным администратором доходов бюджета произведено уточнение вида и принадлежности платежа в срок, не превышающий 10 рабочих дней</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bCs/>
                <w:sz w:val="20"/>
                <w:szCs w:val="20"/>
              </w:rPr>
            </w:pPr>
            <w:r w:rsidRPr="003E31F3">
              <w:rPr>
                <w:rFonts w:ascii="Times New Roman" w:hAnsi="Times New Roman" w:cs="Times New Roman"/>
                <w:bCs/>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bCs/>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20.</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Количество платежных документов, отнесенных к невыясненным поступлениям, зачисляемым в местный бюджет на лицевой счет администратора доходов бюджета, в отчетном году с учетом количества платежных документов, </w:t>
            </w:r>
            <w:proofErr w:type="spellStart"/>
            <w:r w:rsidRPr="003E31F3">
              <w:rPr>
                <w:rFonts w:ascii="Times New Roman" w:hAnsi="Times New Roman" w:cs="Times New Roman"/>
                <w:sz w:val="20"/>
                <w:szCs w:val="20"/>
              </w:rPr>
              <w:t>неуточненных</w:t>
            </w:r>
            <w:proofErr w:type="spellEnd"/>
            <w:r w:rsidRPr="003E31F3">
              <w:rPr>
                <w:rFonts w:ascii="Times New Roman" w:hAnsi="Times New Roman" w:cs="Times New Roman"/>
                <w:sz w:val="20"/>
                <w:szCs w:val="20"/>
              </w:rPr>
              <w:t xml:space="preserve"> на 1 января отчетного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bCs/>
                <w:sz w:val="20"/>
                <w:szCs w:val="20"/>
              </w:rPr>
            </w:pPr>
            <w:r w:rsidRPr="003E31F3">
              <w:rPr>
                <w:rFonts w:ascii="Times New Roman" w:hAnsi="Times New Roman" w:cs="Times New Roman"/>
                <w:bCs/>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bCs/>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21.</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муниципальных учреждений, до которых доведены муниципальные задания в отчетном году</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lastRenderedPageBreak/>
              <w:t>22.</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муниципальных учреждений, выполнивших муниципальное задание в соответствии с порядком формирования муниципального задания и финансового обеспечения выполнения муниципального задания, установленным администраци</w:t>
            </w:r>
            <w:r>
              <w:rPr>
                <w:rFonts w:ascii="Times New Roman" w:hAnsi="Times New Roman" w:cs="Times New Roman"/>
                <w:sz w:val="20"/>
                <w:szCs w:val="20"/>
              </w:rPr>
              <w:t>ей</w:t>
            </w:r>
            <w:r w:rsidRPr="003E31F3">
              <w:rPr>
                <w:rFonts w:ascii="Times New Roman" w:hAnsi="Times New Roman" w:cs="Times New Roman"/>
                <w:sz w:val="20"/>
                <w:szCs w:val="20"/>
              </w:rPr>
              <w:t xml:space="preserve"> </w:t>
            </w:r>
            <w:r w:rsidR="00EB07CF">
              <w:rPr>
                <w:rFonts w:ascii="Times New Roman" w:hAnsi="Times New Roman" w:cs="Times New Roman"/>
                <w:sz w:val="20"/>
                <w:szCs w:val="20"/>
              </w:rPr>
              <w:t xml:space="preserve">МО «Ленский </w:t>
            </w:r>
            <w:r>
              <w:rPr>
                <w:rFonts w:ascii="Times New Roman" w:hAnsi="Times New Roman" w:cs="Times New Roman"/>
                <w:sz w:val="20"/>
                <w:szCs w:val="20"/>
              </w:rPr>
              <w:t xml:space="preserve">муниципальный </w:t>
            </w:r>
            <w:r w:rsidRPr="003E31F3">
              <w:rPr>
                <w:rFonts w:ascii="Times New Roman" w:hAnsi="Times New Roman" w:cs="Times New Roman"/>
                <w:sz w:val="20"/>
                <w:szCs w:val="20"/>
              </w:rPr>
              <w:t>район</w:t>
            </w:r>
            <w:r>
              <w:rPr>
                <w:rFonts w:ascii="Times New Roman" w:hAnsi="Times New Roman" w:cs="Times New Roman"/>
                <w:sz w:val="20"/>
                <w:szCs w:val="20"/>
              </w:rPr>
              <w:t>»</w:t>
            </w:r>
            <w:r w:rsidRPr="003E31F3">
              <w:rPr>
                <w:rFonts w:ascii="Times New Roman" w:hAnsi="Times New Roman" w:cs="Times New Roman"/>
                <w:sz w:val="20"/>
                <w:szCs w:val="20"/>
              </w:rPr>
              <w:t>, по итогам отчетного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23.</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Дата утверждения муниципального задания в году, следующем за отчетным</w:t>
            </w:r>
            <w:r w:rsidRPr="003E31F3">
              <w:rPr>
                <w:rFonts w:ascii="Times New Roman" w:hAnsi="Times New Roman" w:cs="Times New Roman"/>
                <w:sz w:val="20"/>
                <w:szCs w:val="20"/>
                <w:vertAlign w:val="superscript"/>
              </w:rPr>
              <w:t>3</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дата</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24.</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Правовой акт ГРБС о проведении оценки эффективности деятельности муниципальных учреждений</w:t>
            </w:r>
            <w:proofErr w:type="gramStart"/>
            <w:r w:rsidRPr="003E31F3">
              <w:rPr>
                <w:rFonts w:ascii="Times New Roman" w:hAnsi="Times New Roman" w:cs="Times New Roman"/>
                <w:sz w:val="20"/>
                <w:szCs w:val="20"/>
                <w:vertAlign w:val="superscript"/>
              </w:rPr>
              <w:t>1</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25.</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Наличие результатов оценки эффективности деятельности муниципальных учреждений по итогам отчетного года</w:t>
            </w:r>
            <w:proofErr w:type="gramStart"/>
            <w:r w:rsidRPr="003E31F3">
              <w:rPr>
                <w:rFonts w:ascii="Times New Roman" w:hAnsi="Times New Roman" w:cs="Times New Roman"/>
                <w:sz w:val="20"/>
                <w:szCs w:val="20"/>
                <w:vertAlign w:val="superscript"/>
              </w:rPr>
              <w:t>2</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26.</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кредиторской задолженности подведомственных муниц</w:t>
            </w:r>
            <w:r w:rsidR="00E851AB">
              <w:rPr>
                <w:rFonts w:ascii="Times New Roman" w:hAnsi="Times New Roman" w:cs="Times New Roman"/>
                <w:sz w:val="20"/>
                <w:szCs w:val="20"/>
              </w:rPr>
              <w:t xml:space="preserve">ипальных бюджетных  </w:t>
            </w:r>
            <w:r w:rsidRPr="003E31F3">
              <w:rPr>
                <w:rFonts w:ascii="Times New Roman" w:hAnsi="Times New Roman" w:cs="Times New Roman"/>
                <w:sz w:val="20"/>
                <w:szCs w:val="20"/>
              </w:rPr>
              <w:t>учреждений по состоянию на 1 января отчетного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27.</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просроченной кредиторской задолженности подведомственных муниц</w:t>
            </w:r>
            <w:r w:rsidR="00E851AB">
              <w:rPr>
                <w:rFonts w:ascii="Times New Roman" w:hAnsi="Times New Roman" w:cs="Times New Roman"/>
                <w:sz w:val="20"/>
                <w:szCs w:val="20"/>
              </w:rPr>
              <w:t xml:space="preserve">ипальных бюджетных </w:t>
            </w:r>
            <w:r w:rsidRPr="003E31F3">
              <w:rPr>
                <w:rFonts w:ascii="Times New Roman" w:hAnsi="Times New Roman" w:cs="Times New Roman"/>
                <w:sz w:val="20"/>
                <w:szCs w:val="20"/>
              </w:rPr>
              <w:t xml:space="preserve">учреждений по состоянию на 1 января года, следующего за </w:t>
            </w:r>
            <w:proofErr w:type="gramStart"/>
            <w:r w:rsidRPr="003E31F3">
              <w:rPr>
                <w:rFonts w:ascii="Times New Roman" w:hAnsi="Times New Roman" w:cs="Times New Roman"/>
                <w:sz w:val="20"/>
                <w:szCs w:val="20"/>
              </w:rPr>
              <w:t>отчетным</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28.</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Размещение в полном объеме на официальном сайте для размещения информации о государственных (муниципальных) учреждениях (</w:t>
            </w:r>
            <w:proofErr w:type="spellStart"/>
            <w:r w:rsidRPr="003E31F3">
              <w:rPr>
                <w:rFonts w:ascii="Times New Roman" w:hAnsi="Times New Roman" w:cs="Times New Roman"/>
                <w:sz w:val="20"/>
                <w:szCs w:val="20"/>
              </w:rPr>
              <w:t>www.bus.gov.ru</w:t>
            </w:r>
            <w:proofErr w:type="spellEnd"/>
            <w:r w:rsidRPr="003E31F3">
              <w:rPr>
                <w:rFonts w:ascii="Times New Roman" w:hAnsi="Times New Roman" w:cs="Times New Roman"/>
                <w:sz w:val="20"/>
                <w:szCs w:val="20"/>
              </w:rPr>
              <w:t>) в информационно-телекоммуникационной сети «Интернет» информации в соответствии с требованиями к порядку формирования структурированной информации о государственном (муниципальном) учреждении, устанавливаемыми Федеральным казначейством, на момент проведения мониторинга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29.</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субсидии на финансовое обеспечение выполнения муниципального задания, подлежащей возврату в установленных случаях по итогам отчетного финансового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30.</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Объем субсидии на финансовое обеспечение выполнения муниципального задания, возвращенной в установленный срок по итогам отчетного финансового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31.</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vertAlign w:val="superscript"/>
              </w:rPr>
            </w:pPr>
            <w:r w:rsidRPr="003E31F3">
              <w:rPr>
                <w:rFonts w:ascii="Times New Roman" w:hAnsi="Times New Roman" w:cs="Times New Roman"/>
                <w:sz w:val="20"/>
                <w:szCs w:val="20"/>
              </w:rPr>
              <w:t>Число руководителей подведомственных муниципальных учреждений, с которыми заключены контракты, предусматривающие оценку эффективности их деятельности, по итогам отчетного года</w:t>
            </w:r>
            <w:proofErr w:type="gramStart"/>
            <w:r w:rsidRPr="003E31F3">
              <w:rPr>
                <w:rFonts w:ascii="Times New Roman" w:hAnsi="Times New Roman" w:cs="Times New Roman"/>
                <w:sz w:val="20"/>
                <w:szCs w:val="20"/>
                <w:vertAlign w:val="superscript"/>
              </w:rPr>
              <w:t>4</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32.</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Общее число назначенных руководителей муниципальных учреждений в отчетном году</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33.</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Среднемесячная заработная плата руководителей, заместителей руководителей и главных бухгалтеров подведомственных муниципальных учреждений, формируемая за счет всех источников финансового обеспечения, за отчетный год по каждому муниципальному учреждению (определяется в соответствии с положением об особенностях порядка исчисления средней заработной платы, утвержденным Правительством Российской Федерации)</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34.</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Среднемесячная заработная плата работников подведомственных муниципальных учреждений (без учета заработной платы руководителя, заместителей руководителя, главного бухгалтера), формируемая за счет всех источников финансового обеспечения, за отчетный год по каждому муниципальному учреждению (определяется в соответствии с положением об особенностях порядка исчисления средней заработной платы, утвержденным Правительством Российской Федерации)</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35.</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Количество проведенных в отчетном финансовом году контрольных мероприятий органами, уполномоченными осуществлять внешний муниципальный финансовый контроль, у ГРБС и в подведомственных </w:t>
            </w:r>
            <w:r w:rsidRPr="003E31F3">
              <w:rPr>
                <w:rFonts w:ascii="Times New Roman" w:hAnsi="Times New Roman" w:cs="Times New Roman"/>
                <w:sz w:val="20"/>
                <w:szCs w:val="20"/>
              </w:rPr>
              <w:lastRenderedPageBreak/>
              <w:t>ему муниципальных учреждениях</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lastRenderedPageBreak/>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lastRenderedPageBreak/>
              <w:t>36.</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Наличие нарушений, выявленных у ГРБС в ходе мероприятий по внешнему муниципальному финансовому контролю, по состоянию на 1 января года, следующего за </w:t>
            </w:r>
            <w:proofErr w:type="gramStart"/>
            <w:r w:rsidRPr="003E31F3">
              <w:rPr>
                <w:rFonts w:ascii="Times New Roman" w:hAnsi="Times New Roman" w:cs="Times New Roman"/>
                <w:sz w:val="20"/>
                <w:szCs w:val="20"/>
              </w:rPr>
              <w:t>отчетным</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37.</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Наличие нарушений, выявленных у подведомственных ГРБС муниципальных учреждений в ходе мероприятий по внешнему муниципальному финансовому контролю, по состоянию на 1 января года, следующего за </w:t>
            </w:r>
            <w:proofErr w:type="gramStart"/>
            <w:r w:rsidRPr="003E31F3">
              <w:rPr>
                <w:rFonts w:ascii="Times New Roman" w:hAnsi="Times New Roman" w:cs="Times New Roman"/>
                <w:sz w:val="20"/>
                <w:szCs w:val="20"/>
              </w:rPr>
              <w:t>отчетным</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38.</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нарушений, выявленных в ходе мероприятий по внутреннему муниципальному финансовому контролю, по состоянию на 1 января отчетного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39.</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Количество нарушений, выявленных в ходе мероприятий по внутреннему муниципальному финансовому контролю, по состоянию на 1 января года, следующего за </w:t>
            </w:r>
            <w:proofErr w:type="gramStart"/>
            <w:r w:rsidRPr="003E31F3">
              <w:rPr>
                <w:rFonts w:ascii="Times New Roman" w:hAnsi="Times New Roman" w:cs="Times New Roman"/>
                <w:sz w:val="20"/>
                <w:szCs w:val="20"/>
              </w:rPr>
              <w:t>отчетным</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40.</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нарушений, выявленных в ходе мероприятий по внешнему муниципальному финансовому контролю, по состоянию на 1 января отчетного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41.</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 xml:space="preserve">Количество нарушений, выявленных в ходе мероприятий по внешнему муниципальному финансовому контролю, по состоянию на 1 января года, следующего за </w:t>
            </w:r>
            <w:proofErr w:type="gramStart"/>
            <w:r w:rsidRPr="003E31F3">
              <w:rPr>
                <w:rFonts w:ascii="Times New Roman" w:hAnsi="Times New Roman" w:cs="Times New Roman"/>
                <w:sz w:val="20"/>
                <w:szCs w:val="20"/>
              </w:rPr>
              <w:t>отчетным</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42.</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vertAlign w:val="superscript"/>
              </w:rPr>
            </w:pPr>
            <w:r w:rsidRPr="003E31F3">
              <w:rPr>
                <w:rFonts w:ascii="Times New Roman" w:hAnsi="Times New Roman" w:cs="Times New Roman"/>
                <w:sz w:val="20"/>
                <w:szCs w:val="20"/>
              </w:rPr>
              <w:t>Правовой акт главного администратора бюджетных средств, обеспечивающий осуществление внутреннего финансового аудита с соблюдением федеральных стандартов внутреннего финансового аудита</w:t>
            </w:r>
            <w:proofErr w:type="gramStart"/>
            <w:r w:rsidRPr="003E31F3">
              <w:rPr>
                <w:rFonts w:ascii="Times New Roman" w:hAnsi="Times New Roman" w:cs="Times New Roman"/>
                <w:sz w:val="20"/>
                <w:szCs w:val="20"/>
                <w:vertAlign w:val="superscript"/>
              </w:rPr>
              <w:t>1</w:t>
            </w:r>
            <w:proofErr w:type="gramEnd"/>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43.</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Кассовое исполнение расходов главного администратора бюджетных средств в отчетном финансовом году</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тыс. рублей</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44.</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Наличие расхождений с данными бюджетного учета, выявленных при проведении инвентаризации по итогам отчетного финансового года</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45.</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Количество проведенных проверок в сфере закупок (в том числе ведомственный контроль) в отчетном финансовом году</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единиц</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46.</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Наличие нарушений, выявленных у ГРБС при управлении и распоряжении муниципальной собственностью в отчетном финансовом году</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47.</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Наличие нарушений, выявленных у подведомственных ГРБС муниципальных учреждений при управлении и распоряжении переданной в оперативное управление муниципальной собственностью в отчетном финансовом году</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r w:rsidR="00E54295" w:rsidRPr="003E31F3" w:rsidTr="00AD5525">
        <w:tc>
          <w:tcPr>
            <w:tcW w:w="852"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48.</w:t>
            </w:r>
          </w:p>
        </w:tc>
        <w:tc>
          <w:tcPr>
            <w:tcW w:w="6523"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r w:rsidRPr="003E31F3">
              <w:rPr>
                <w:rFonts w:ascii="Times New Roman" w:hAnsi="Times New Roman" w:cs="Times New Roman"/>
                <w:sz w:val="20"/>
                <w:szCs w:val="20"/>
              </w:rPr>
              <w:t>Наличие нарушений порядка совершения крупной сделки подведомственными ГРБС муниципальными учреждениями в отчетном финансовом году</w:t>
            </w:r>
          </w:p>
        </w:tc>
        <w:tc>
          <w:tcPr>
            <w:tcW w:w="1556" w:type="dxa"/>
            <w:tcMar>
              <w:top w:w="0" w:type="dxa"/>
              <w:bottom w:w="0" w:type="dxa"/>
            </w:tcMar>
          </w:tcPr>
          <w:p w:rsidR="00E54295" w:rsidRPr="003E31F3" w:rsidRDefault="00E54295" w:rsidP="0033017C">
            <w:pPr>
              <w:autoSpaceDE w:val="0"/>
              <w:autoSpaceDN w:val="0"/>
              <w:adjustRightInd w:val="0"/>
              <w:jc w:val="center"/>
              <w:rPr>
                <w:rFonts w:ascii="Times New Roman" w:hAnsi="Times New Roman" w:cs="Times New Roman"/>
                <w:sz w:val="20"/>
                <w:szCs w:val="20"/>
              </w:rPr>
            </w:pPr>
            <w:r w:rsidRPr="003E31F3">
              <w:rPr>
                <w:rFonts w:ascii="Times New Roman" w:hAnsi="Times New Roman" w:cs="Times New Roman"/>
                <w:sz w:val="20"/>
                <w:szCs w:val="20"/>
              </w:rPr>
              <w:t>да/нет</w:t>
            </w:r>
          </w:p>
        </w:tc>
        <w:tc>
          <w:tcPr>
            <w:tcW w:w="1134" w:type="dxa"/>
            <w:tcMar>
              <w:top w:w="0" w:type="dxa"/>
              <w:bottom w:w="0" w:type="dxa"/>
            </w:tcMar>
          </w:tcPr>
          <w:p w:rsidR="00E54295" w:rsidRPr="003E31F3" w:rsidRDefault="00E54295" w:rsidP="0033017C">
            <w:pPr>
              <w:autoSpaceDE w:val="0"/>
              <w:autoSpaceDN w:val="0"/>
              <w:adjustRightInd w:val="0"/>
              <w:rPr>
                <w:rFonts w:ascii="Times New Roman" w:hAnsi="Times New Roman" w:cs="Times New Roman"/>
                <w:sz w:val="20"/>
                <w:szCs w:val="20"/>
              </w:rPr>
            </w:pPr>
          </w:p>
        </w:tc>
      </w:tr>
    </w:tbl>
    <w:p w:rsidR="00E54295" w:rsidRPr="003E31F3" w:rsidRDefault="00E54295" w:rsidP="00E54295">
      <w:pPr>
        <w:autoSpaceDE w:val="0"/>
        <w:autoSpaceDN w:val="0"/>
        <w:adjustRightInd w:val="0"/>
        <w:spacing w:after="0"/>
        <w:ind w:firstLine="540"/>
        <w:jc w:val="both"/>
        <w:rPr>
          <w:rFonts w:ascii="Times New Roman" w:hAnsi="Times New Roman" w:cs="Times New Roman"/>
          <w:bCs/>
        </w:rPr>
      </w:pPr>
      <w:bookmarkStart w:id="1" w:name="P381"/>
      <w:bookmarkEnd w:id="1"/>
      <w:r w:rsidRPr="003E31F3">
        <w:rPr>
          <w:rFonts w:ascii="Times New Roman" w:hAnsi="Times New Roman" w:cs="Times New Roman"/>
          <w:bCs/>
          <w:vertAlign w:val="superscript"/>
        </w:rPr>
        <w:t>1</w:t>
      </w:r>
      <w:r w:rsidRPr="003E31F3">
        <w:rPr>
          <w:rFonts w:ascii="Times New Roman" w:hAnsi="Times New Roman" w:cs="Times New Roman"/>
          <w:bCs/>
        </w:rPr>
        <w:t xml:space="preserve"> Копия правового акта </w:t>
      </w:r>
      <w:r w:rsidRPr="003E31F3">
        <w:rPr>
          <w:rFonts w:ascii="Times New Roman" w:hAnsi="Times New Roman" w:cs="Times New Roman"/>
        </w:rPr>
        <w:t xml:space="preserve">главного администратора бюджетных средств </w:t>
      </w:r>
      <w:r w:rsidRPr="003E31F3">
        <w:rPr>
          <w:rFonts w:ascii="Times New Roman" w:hAnsi="Times New Roman" w:cs="Times New Roman"/>
          <w:bCs/>
        </w:rPr>
        <w:t>должна быть приложена к сведениям, представляемым главным администратором</w:t>
      </w:r>
      <w:r w:rsidRPr="003E31F3">
        <w:rPr>
          <w:rFonts w:ascii="Times New Roman" w:hAnsi="Times New Roman" w:cs="Times New Roman"/>
        </w:rPr>
        <w:t xml:space="preserve"> бюджетных средств</w:t>
      </w:r>
      <w:r w:rsidRPr="003E31F3">
        <w:rPr>
          <w:rFonts w:ascii="Times New Roman" w:hAnsi="Times New Roman" w:cs="Times New Roman"/>
          <w:bCs/>
        </w:rPr>
        <w:t>.</w:t>
      </w:r>
    </w:p>
    <w:p w:rsidR="00E54295" w:rsidRPr="003E31F3" w:rsidRDefault="00E54295" w:rsidP="00E54295">
      <w:pPr>
        <w:autoSpaceDE w:val="0"/>
        <w:autoSpaceDN w:val="0"/>
        <w:adjustRightInd w:val="0"/>
        <w:spacing w:after="0"/>
        <w:ind w:firstLine="540"/>
        <w:jc w:val="both"/>
        <w:rPr>
          <w:rFonts w:ascii="Times New Roman" w:hAnsi="Times New Roman" w:cs="Times New Roman"/>
          <w:bCs/>
        </w:rPr>
      </w:pPr>
      <w:bookmarkStart w:id="2" w:name="P382"/>
      <w:bookmarkEnd w:id="2"/>
      <w:r w:rsidRPr="003E31F3">
        <w:rPr>
          <w:rFonts w:ascii="Times New Roman" w:hAnsi="Times New Roman" w:cs="Times New Roman"/>
          <w:bCs/>
          <w:vertAlign w:val="superscript"/>
        </w:rPr>
        <w:t>2</w:t>
      </w:r>
      <w:r w:rsidRPr="003E31F3">
        <w:rPr>
          <w:rFonts w:ascii="Times New Roman" w:hAnsi="Times New Roman" w:cs="Times New Roman"/>
          <w:bCs/>
        </w:rPr>
        <w:t> Копия отчета должна быть приложена к сведениям, представляемым ГРБС.</w:t>
      </w:r>
    </w:p>
    <w:p w:rsidR="00E54295" w:rsidRPr="003E31F3" w:rsidRDefault="00E54295" w:rsidP="00E54295">
      <w:pPr>
        <w:autoSpaceDE w:val="0"/>
        <w:autoSpaceDN w:val="0"/>
        <w:adjustRightInd w:val="0"/>
        <w:spacing w:after="0"/>
        <w:ind w:firstLine="540"/>
        <w:jc w:val="both"/>
        <w:rPr>
          <w:rFonts w:ascii="Times New Roman" w:hAnsi="Times New Roman" w:cs="Times New Roman"/>
          <w:bCs/>
        </w:rPr>
      </w:pPr>
      <w:bookmarkStart w:id="3" w:name="P383"/>
      <w:bookmarkEnd w:id="3"/>
      <w:r w:rsidRPr="003E31F3">
        <w:rPr>
          <w:rFonts w:ascii="Times New Roman" w:hAnsi="Times New Roman" w:cs="Times New Roman"/>
          <w:bCs/>
          <w:vertAlign w:val="superscript"/>
        </w:rPr>
        <w:t>3</w:t>
      </w:r>
      <w:proofErr w:type="gramStart"/>
      <w:r w:rsidRPr="003E31F3">
        <w:rPr>
          <w:rFonts w:ascii="Times New Roman" w:hAnsi="Times New Roman" w:cs="Times New Roman"/>
          <w:bCs/>
        </w:rPr>
        <w:t> У</w:t>
      </w:r>
      <w:proofErr w:type="gramEnd"/>
      <w:r w:rsidRPr="003E31F3">
        <w:rPr>
          <w:rFonts w:ascii="Times New Roman" w:hAnsi="Times New Roman" w:cs="Times New Roman"/>
          <w:bCs/>
        </w:rPr>
        <w:t>казывается последняя дата утверждения муниципального задания для подведомственных муниципальных учреждений.</w:t>
      </w:r>
    </w:p>
    <w:p w:rsidR="00E54295" w:rsidRPr="003E31F3" w:rsidRDefault="00E54295" w:rsidP="00E54295">
      <w:pPr>
        <w:autoSpaceDE w:val="0"/>
        <w:autoSpaceDN w:val="0"/>
        <w:adjustRightInd w:val="0"/>
        <w:spacing w:after="0"/>
        <w:ind w:firstLine="540"/>
        <w:jc w:val="both"/>
        <w:rPr>
          <w:rFonts w:ascii="Times New Roman" w:hAnsi="Times New Roman" w:cs="Times New Roman"/>
          <w:bCs/>
        </w:rPr>
      </w:pPr>
      <w:r w:rsidRPr="003E31F3">
        <w:rPr>
          <w:rFonts w:ascii="Times New Roman" w:hAnsi="Times New Roman" w:cs="Times New Roman"/>
          <w:bCs/>
          <w:vertAlign w:val="superscript"/>
        </w:rPr>
        <w:t>4</w:t>
      </w:r>
      <w:r w:rsidRPr="003E31F3">
        <w:rPr>
          <w:rFonts w:ascii="Times New Roman" w:hAnsi="Times New Roman" w:cs="Times New Roman"/>
          <w:bCs/>
        </w:rPr>
        <w:t xml:space="preserve"> Копия приказа </w:t>
      </w:r>
      <w:r w:rsidRPr="003E31F3">
        <w:rPr>
          <w:rFonts w:ascii="Times New Roman" w:hAnsi="Times New Roman" w:cs="Times New Roman"/>
        </w:rPr>
        <w:t xml:space="preserve">ГРБС </w:t>
      </w:r>
      <w:r w:rsidRPr="003E31F3">
        <w:rPr>
          <w:rFonts w:ascii="Times New Roman" w:hAnsi="Times New Roman" w:cs="Times New Roman"/>
          <w:bCs/>
        </w:rPr>
        <w:t>об утверждении показателей эффективности по стимулирующим выплатам руководителям подведомственных муниципальных учреждений либо копия контракта (трудового договора) руководителя (копии листов, содержащих положения, предусматривающие оценку эффективности деятельности руководителя) должны быть приложены к сведениям, представляемым ГРБС.</w:t>
      </w:r>
    </w:p>
    <w:p w:rsidR="00F0785F" w:rsidRDefault="00F0785F"/>
    <w:sectPr w:rsidR="00F0785F" w:rsidSect="00AD5525">
      <w:pgSz w:w="11906" w:h="16838"/>
      <w:pgMar w:top="709"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4295"/>
    <w:rsid w:val="000174F1"/>
    <w:rsid w:val="00196DBB"/>
    <w:rsid w:val="0025665E"/>
    <w:rsid w:val="00267131"/>
    <w:rsid w:val="00404416"/>
    <w:rsid w:val="004C59B2"/>
    <w:rsid w:val="006400BC"/>
    <w:rsid w:val="00653726"/>
    <w:rsid w:val="007776FD"/>
    <w:rsid w:val="009A6661"/>
    <w:rsid w:val="00AD5525"/>
    <w:rsid w:val="00C95B37"/>
    <w:rsid w:val="00E54295"/>
    <w:rsid w:val="00E6747A"/>
    <w:rsid w:val="00E851AB"/>
    <w:rsid w:val="00E93C54"/>
    <w:rsid w:val="00E96660"/>
    <w:rsid w:val="00EB07CF"/>
    <w:rsid w:val="00F078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295"/>
    <w:pPr>
      <w:spacing w:after="160" w:line="259" w:lineRule="auto"/>
    </w:pPr>
    <w:rPr>
      <w:rFonts w:cstheme="minorBidi"/>
      <w:lang w:val="ru-RU" w:bidi="ar-SA"/>
    </w:rPr>
  </w:style>
  <w:style w:type="paragraph" w:styleId="1">
    <w:name w:val="heading 1"/>
    <w:basedOn w:val="a"/>
    <w:next w:val="a"/>
    <w:link w:val="10"/>
    <w:uiPriority w:val="9"/>
    <w:qFormat/>
    <w:rsid w:val="00196DBB"/>
    <w:pPr>
      <w:keepNext/>
      <w:spacing w:before="240" w:after="60" w:line="240" w:lineRule="auto"/>
      <w:outlineLvl w:val="0"/>
    </w:pPr>
    <w:rPr>
      <w:rFonts w:asciiTheme="majorHAnsi" w:eastAsiaTheme="majorEastAsia" w:hAnsiTheme="majorHAnsi" w:cstheme="majorBidi"/>
      <w:b/>
      <w:bCs/>
      <w:kern w:val="32"/>
      <w:sz w:val="32"/>
      <w:szCs w:val="32"/>
      <w:lang w:val="en-US" w:bidi="en-US"/>
    </w:rPr>
  </w:style>
  <w:style w:type="paragraph" w:styleId="2">
    <w:name w:val="heading 2"/>
    <w:basedOn w:val="a"/>
    <w:next w:val="a"/>
    <w:link w:val="20"/>
    <w:uiPriority w:val="9"/>
    <w:semiHidden/>
    <w:unhideWhenUsed/>
    <w:qFormat/>
    <w:rsid w:val="00196DBB"/>
    <w:pPr>
      <w:keepNext/>
      <w:spacing w:before="240" w:after="60" w:line="240" w:lineRule="auto"/>
      <w:outlineLvl w:val="1"/>
    </w:pPr>
    <w:rPr>
      <w:rFonts w:asciiTheme="majorHAnsi" w:eastAsiaTheme="majorEastAsia" w:hAnsiTheme="majorHAnsi" w:cstheme="majorBidi"/>
      <w:b/>
      <w:bCs/>
      <w:i/>
      <w:iCs/>
      <w:sz w:val="28"/>
      <w:szCs w:val="28"/>
      <w:lang w:val="en-US" w:bidi="en-US"/>
    </w:rPr>
  </w:style>
  <w:style w:type="paragraph" w:styleId="3">
    <w:name w:val="heading 3"/>
    <w:basedOn w:val="a"/>
    <w:next w:val="a"/>
    <w:link w:val="30"/>
    <w:uiPriority w:val="9"/>
    <w:unhideWhenUsed/>
    <w:qFormat/>
    <w:rsid w:val="00196DBB"/>
    <w:pPr>
      <w:keepNext/>
      <w:spacing w:before="240" w:after="60" w:line="240" w:lineRule="auto"/>
      <w:outlineLvl w:val="2"/>
    </w:pPr>
    <w:rPr>
      <w:rFonts w:asciiTheme="majorHAnsi" w:eastAsiaTheme="majorEastAsia" w:hAnsiTheme="majorHAnsi" w:cstheme="majorBidi"/>
      <w:b/>
      <w:bCs/>
      <w:sz w:val="26"/>
      <w:szCs w:val="26"/>
      <w:lang w:val="en-US" w:bidi="en-US"/>
    </w:rPr>
  </w:style>
  <w:style w:type="paragraph" w:styleId="4">
    <w:name w:val="heading 4"/>
    <w:basedOn w:val="a"/>
    <w:next w:val="a"/>
    <w:link w:val="40"/>
    <w:uiPriority w:val="9"/>
    <w:semiHidden/>
    <w:unhideWhenUsed/>
    <w:qFormat/>
    <w:rsid w:val="00196DBB"/>
    <w:pPr>
      <w:keepNext/>
      <w:spacing w:before="240" w:after="60" w:line="240" w:lineRule="auto"/>
      <w:outlineLvl w:val="3"/>
    </w:pPr>
    <w:rPr>
      <w:rFonts w:cstheme="majorBidi"/>
      <w:b/>
      <w:bCs/>
      <w:sz w:val="28"/>
      <w:szCs w:val="28"/>
      <w:lang w:val="en-US" w:bidi="en-US"/>
    </w:rPr>
  </w:style>
  <w:style w:type="paragraph" w:styleId="5">
    <w:name w:val="heading 5"/>
    <w:basedOn w:val="a"/>
    <w:next w:val="a"/>
    <w:link w:val="50"/>
    <w:uiPriority w:val="9"/>
    <w:semiHidden/>
    <w:unhideWhenUsed/>
    <w:qFormat/>
    <w:rsid w:val="00196DBB"/>
    <w:pPr>
      <w:spacing w:before="240" w:after="60" w:line="240" w:lineRule="auto"/>
      <w:outlineLvl w:val="4"/>
    </w:pPr>
    <w:rPr>
      <w:rFonts w:cstheme="majorBidi"/>
      <w:b/>
      <w:bCs/>
      <w:i/>
      <w:iCs/>
      <w:sz w:val="26"/>
      <w:szCs w:val="26"/>
      <w:lang w:val="en-US" w:bidi="en-US"/>
    </w:rPr>
  </w:style>
  <w:style w:type="paragraph" w:styleId="6">
    <w:name w:val="heading 6"/>
    <w:basedOn w:val="a"/>
    <w:next w:val="a"/>
    <w:link w:val="60"/>
    <w:uiPriority w:val="9"/>
    <w:semiHidden/>
    <w:unhideWhenUsed/>
    <w:qFormat/>
    <w:rsid w:val="00196DBB"/>
    <w:pPr>
      <w:spacing w:before="240" w:after="60" w:line="240" w:lineRule="auto"/>
      <w:outlineLvl w:val="5"/>
    </w:pPr>
    <w:rPr>
      <w:rFonts w:cstheme="majorBidi"/>
      <w:b/>
      <w:bCs/>
      <w:lang w:val="en-US" w:bidi="en-US"/>
    </w:rPr>
  </w:style>
  <w:style w:type="paragraph" w:styleId="7">
    <w:name w:val="heading 7"/>
    <w:basedOn w:val="a"/>
    <w:next w:val="a"/>
    <w:link w:val="70"/>
    <w:uiPriority w:val="9"/>
    <w:semiHidden/>
    <w:unhideWhenUsed/>
    <w:qFormat/>
    <w:rsid w:val="00196DBB"/>
    <w:pPr>
      <w:spacing w:before="240" w:after="60" w:line="240" w:lineRule="auto"/>
      <w:outlineLvl w:val="6"/>
    </w:pPr>
    <w:rPr>
      <w:rFonts w:cstheme="majorBidi"/>
      <w:sz w:val="24"/>
      <w:szCs w:val="24"/>
      <w:lang w:val="en-US" w:bidi="en-US"/>
    </w:rPr>
  </w:style>
  <w:style w:type="paragraph" w:styleId="8">
    <w:name w:val="heading 8"/>
    <w:basedOn w:val="a"/>
    <w:next w:val="a"/>
    <w:link w:val="80"/>
    <w:uiPriority w:val="9"/>
    <w:semiHidden/>
    <w:unhideWhenUsed/>
    <w:qFormat/>
    <w:rsid w:val="00196DBB"/>
    <w:pPr>
      <w:spacing w:before="240" w:after="60" w:line="240" w:lineRule="auto"/>
      <w:outlineLvl w:val="7"/>
    </w:pPr>
    <w:rPr>
      <w:rFonts w:cstheme="majorBidi"/>
      <w:i/>
      <w:iCs/>
      <w:sz w:val="24"/>
      <w:szCs w:val="24"/>
      <w:lang w:val="en-US" w:bidi="en-US"/>
    </w:rPr>
  </w:style>
  <w:style w:type="paragraph" w:styleId="9">
    <w:name w:val="heading 9"/>
    <w:basedOn w:val="a"/>
    <w:next w:val="a"/>
    <w:link w:val="90"/>
    <w:uiPriority w:val="9"/>
    <w:semiHidden/>
    <w:unhideWhenUsed/>
    <w:qFormat/>
    <w:rsid w:val="00196DBB"/>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rsid w:val="00404416"/>
    <w:pPr>
      <w:spacing w:after="0" w:line="240" w:lineRule="auto"/>
    </w:pPr>
    <w:rPr>
      <w:rFonts w:cs="Times New Roman"/>
      <w:sz w:val="28"/>
      <w:szCs w:val="28"/>
      <w:lang w:val="en-US" w:bidi="en-US"/>
    </w:rPr>
  </w:style>
  <w:style w:type="character" w:customStyle="1" w:styleId="a4">
    <w:name w:val="Основной текст Знак"/>
    <w:basedOn w:val="a0"/>
    <w:link w:val="a3"/>
    <w:uiPriority w:val="1"/>
    <w:rsid w:val="00267131"/>
    <w:rPr>
      <w:rFonts w:ascii="Times New Roman" w:eastAsia="Times New Roman" w:hAnsi="Times New Roman" w:cs="Times New Roman"/>
      <w:sz w:val="28"/>
      <w:szCs w:val="28"/>
    </w:rPr>
  </w:style>
  <w:style w:type="paragraph" w:styleId="a5">
    <w:name w:val="List Paragraph"/>
    <w:basedOn w:val="a"/>
    <w:uiPriority w:val="34"/>
    <w:qFormat/>
    <w:rsid w:val="00196DBB"/>
    <w:pPr>
      <w:spacing w:after="0" w:line="240" w:lineRule="auto"/>
      <w:ind w:left="720"/>
      <w:contextualSpacing/>
    </w:pPr>
    <w:rPr>
      <w:rFonts w:cs="Times New Roman"/>
      <w:sz w:val="24"/>
      <w:szCs w:val="24"/>
      <w:lang w:val="en-US" w:bidi="en-US"/>
    </w:rPr>
  </w:style>
  <w:style w:type="paragraph" w:customStyle="1" w:styleId="Heading1">
    <w:name w:val="Heading 1"/>
    <w:basedOn w:val="a"/>
    <w:uiPriority w:val="1"/>
    <w:rsid w:val="00404416"/>
    <w:pPr>
      <w:ind w:left="142" w:right="1347"/>
      <w:jc w:val="center"/>
      <w:outlineLvl w:val="1"/>
    </w:pPr>
    <w:rPr>
      <w:b/>
      <w:bCs/>
      <w:sz w:val="28"/>
      <w:szCs w:val="28"/>
    </w:rPr>
  </w:style>
  <w:style w:type="paragraph" w:customStyle="1" w:styleId="TableParagraph">
    <w:name w:val="Table Paragraph"/>
    <w:basedOn w:val="a"/>
    <w:uiPriority w:val="1"/>
    <w:rsid w:val="00404416"/>
    <w:pPr>
      <w:spacing w:before="27"/>
      <w:jc w:val="center"/>
    </w:pPr>
  </w:style>
  <w:style w:type="character" w:customStyle="1" w:styleId="20">
    <w:name w:val="Заголовок 2 Знак"/>
    <w:basedOn w:val="a0"/>
    <w:link w:val="2"/>
    <w:uiPriority w:val="9"/>
    <w:semiHidden/>
    <w:rsid w:val="00196DBB"/>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196DBB"/>
    <w:rPr>
      <w:rFonts w:asciiTheme="majorHAnsi" w:eastAsiaTheme="majorEastAsia" w:hAnsiTheme="majorHAnsi" w:cstheme="majorBidi"/>
      <w:b/>
      <w:bCs/>
      <w:sz w:val="26"/>
      <w:szCs w:val="26"/>
    </w:rPr>
  </w:style>
  <w:style w:type="paragraph" w:styleId="a6">
    <w:name w:val="No Spacing"/>
    <w:basedOn w:val="a"/>
    <w:uiPriority w:val="1"/>
    <w:qFormat/>
    <w:rsid w:val="00196DBB"/>
    <w:pPr>
      <w:spacing w:after="0" w:line="240" w:lineRule="auto"/>
    </w:pPr>
    <w:rPr>
      <w:rFonts w:cs="Times New Roman"/>
      <w:sz w:val="24"/>
      <w:szCs w:val="32"/>
      <w:lang w:val="en-US" w:bidi="en-US"/>
    </w:rPr>
  </w:style>
  <w:style w:type="character" w:customStyle="1" w:styleId="10">
    <w:name w:val="Заголовок 1 Знак"/>
    <w:basedOn w:val="a0"/>
    <w:link w:val="1"/>
    <w:uiPriority w:val="9"/>
    <w:rsid w:val="00196DBB"/>
    <w:rPr>
      <w:rFonts w:asciiTheme="majorHAnsi" w:eastAsiaTheme="majorEastAsia" w:hAnsiTheme="majorHAnsi" w:cstheme="majorBidi"/>
      <w:b/>
      <w:bCs/>
      <w:kern w:val="32"/>
      <w:sz w:val="32"/>
      <w:szCs w:val="32"/>
    </w:rPr>
  </w:style>
  <w:style w:type="character" w:customStyle="1" w:styleId="40">
    <w:name w:val="Заголовок 4 Знак"/>
    <w:basedOn w:val="a0"/>
    <w:link w:val="4"/>
    <w:uiPriority w:val="9"/>
    <w:semiHidden/>
    <w:rsid w:val="00196DBB"/>
    <w:rPr>
      <w:rFonts w:cstheme="majorBidi"/>
      <w:b/>
      <w:bCs/>
      <w:sz w:val="28"/>
      <w:szCs w:val="28"/>
    </w:rPr>
  </w:style>
  <w:style w:type="character" w:customStyle="1" w:styleId="50">
    <w:name w:val="Заголовок 5 Знак"/>
    <w:basedOn w:val="a0"/>
    <w:link w:val="5"/>
    <w:uiPriority w:val="9"/>
    <w:semiHidden/>
    <w:rsid w:val="00196DBB"/>
    <w:rPr>
      <w:rFonts w:cstheme="majorBidi"/>
      <w:b/>
      <w:bCs/>
      <w:i/>
      <w:iCs/>
      <w:sz w:val="26"/>
      <w:szCs w:val="26"/>
    </w:rPr>
  </w:style>
  <w:style w:type="character" w:customStyle="1" w:styleId="60">
    <w:name w:val="Заголовок 6 Знак"/>
    <w:basedOn w:val="a0"/>
    <w:link w:val="6"/>
    <w:uiPriority w:val="9"/>
    <w:semiHidden/>
    <w:rsid w:val="00196DBB"/>
    <w:rPr>
      <w:rFonts w:cstheme="majorBidi"/>
      <w:b/>
      <w:bCs/>
    </w:rPr>
  </w:style>
  <w:style w:type="character" w:customStyle="1" w:styleId="70">
    <w:name w:val="Заголовок 7 Знак"/>
    <w:basedOn w:val="a0"/>
    <w:link w:val="7"/>
    <w:uiPriority w:val="9"/>
    <w:semiHidden/>
    <w:rsid w:val="00196DBB"/>
    <w:rPr>
      <w:rFonts w:cstheme="majorBidi"/>
      <w:sz w:val="24"/>
      <w:szCs w:val="24"/>
    </w:rPr>
  </w:style>
  <w:style w:type="character" w:customStyle="1" w:styleId="80">
    <w:name w:val="Заголовок 8 Знак"/>
    <w:basedOn w:val="a0"/>
    <w:link w:val="8"/>
    <w:uiPriority w:val="9"/>
    <w:semiHidden/>
    <w:rsid w:val="00196DBB"/>
    <w:rPr>
      <w:rFonts w:cstheme="majorBidi"/>
      <w:i/>
      <w:iCs/>
      <w:sz w:val="24"/>
      <w:szCs w:val="24"/>
    </w:rPr>
  </w:style>
  <w:style w:type="character" w:customStyle="1" w:styleId="90">
    <w:name w:val="Заголовок 9 Знак"/>
    <w:basedOn w:val="a0"/>
    <w:link w:val="9"/>
    <w:uiPriority w:val="9"/>
    <w:semiHidden/>
    <w:rsid w:val="00196DBB"/>
    <w:rPr>
      <w:rFonts w:asciiTheme="majorHAnsi" w:eastAsiaTheme="majorEastAsia" w:hAnsiTheme="majorHAnsi" w:cstheme="majorBidi"/>
    </w:rPr>
  </w:style>
  <w:style w:type="paragraph" w:styleId="a7">
    <w:name w:val="Title"/>
    <w:basedOn w:val="a"/>
    <w:next w:val="a"/>
    <w:link w:val="a8"/>
    <w:uiPriority w:val="10"/>
    <w:qFormat/>
    <w:rsid w:val="00196DBB"/>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8">
    <w:name w:val="Название Знак"/>
    <w:basedOn w:val="a0"/>
    <w:link w:val="a7"/>
    <w:uiPriority w:val="10"/>
    <w:rsid w:val="00196DBB"/>
    <w:rPr>
      <w:rFonts w:asciiTheme="majorHAnsi" w:eastAsiaTheme="majorEastAsia" w:hAnsiTheme="majorHAnsi" w:cstheme="majorBidi"/>
      <w:b/>
      <w:bCs/>
      <w:kern w:val="28"/>
      <w:sz w:val="32"/>
      <w:szCs w:val="32"/>
    </w:rPr>
  </w:style>
  <w:style w:type="paragraph" w:styleId="a9">
    <w:name w:val="Subtitle"/>
    <w:basedOn w:val="a"/>
    <w:next w:val="a"/>
    <w:link w:val="aa"/>
    <w:uiPriority w:val="11"/>
    <w:qFormat/>
    <w:rsid w:val="00196DBB"/>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a">
    <w:name w:val="Подзаголовок Знак"/>
    <w:basedOn w:val="a0"/>
    <w:link w:val="a9"/>
    <w:uiPriority w:val="11"/>
    <w:rsid w:val="00196DBB"/>
    <w:rPr>
      <w:rFonts w:asciiTheme="majorHAnsi" w:eastAsiaTheme="majorEastAsia" w:hAnsiTheme="majorHAnsi" w:cstheme="majorBidi"/>
      <w:sz w:val="24"/>
      <w:szCs w:val="24"/>
    </w:rPr>
  </w:style>
  <w:style w:type="character" w:styleId="ab">
    <w:name w:val="Strong"/>
    <w:basedOn w:val="a0"/>
    <w:uiPriority w:val="22"/>
    <w:qFormat/>
    <w:rsid w:val="00196DBB"/>
    <w:rPr>
      <w:b/>
      <w:bCs/>
    </w:rPr>
  </w:style>
  <w:style w:type="character" w:styleId="ac">
    <w:name w:val="Emphasis"/>
    <w:basedOn w:val="a0"/>
    <w:uiPriority w:val="20"/>
    <w:qFormat/>
    <w:rsid w:val="00196DBB"/>
    <w:rPr>
      <w:rFonts w:asciiTheme="minorHAnsi" w:hAnsiTheme="minorHAnsi"/>
      <w:b/>
      <w:i/>
      <w:iCs/>
    </w:rPr>
  </w:style>
  <w:style w:type="paragraph" w:styleId="21">
    <w:name w:val="Quote"/>
    <w:basedOn w:val="a"/>
    <w:next w:val="a"/>
    <w:link w:val="22"/>
    <w:uiPriority w:val="29"/>
    <w:qFormat/>
    <w:rsid w:val="00196DBB"/>
    <w:pPr>
      <w:spacing w:after="0" w:line="240" w:lineRule="auto"/>
    </w:pPr>
    <w:rPr>
      <w:rFonts w:cs="Times New Roman"/>
      <w:i/>
      <w:sz w:val="24"/>
      <w:szCs w:val="24"/>
      <w:lang w:val="en-US" w:bidi="en-US"/>
    </w:rPr>
  </w:style>
  <w:style w:type="character" w:customStyle="1" w:styleId="22">
    <w:name w:val="Цитата 2 Знак"/>
    <w:basedOn w:val="a0"/>
    <w:link w:val="21"/>
    <w:uiPriority w:val="29"/>
    <w:rsid w:val="00196DBB"/>
    <w:rPr>
      <w:i/>
      <w:sz w:val="24"/>
      <w:szCs w:val="24"/>
    </w:rPr>
  </w:style>
  <w:style w:type="paragraph" w:styleId="ad">
    <w:name w:val="Intense Quote"/>
    <w:basedOn w:val="a"/>
    <w:next w:val="a"/>
    <w:link w:val="ae"/>
    <w:uiPriority w:val="30"/>
    <w:qFormat/>
    <w:rsid w:val="00196DBB"/>
    <w:pPr>
      <w:spacing w:after="0" w:line="240" w:lineRule="auto"/>
      <w:ind w:left="720" w:right="720"/>
    </w:pPr>
    <w:rPr>
      <w:rFonts w:cs="Times New Roman"/>
      <w:b/>
      <w:i/>
      <w:sz w:val="24"/>
      <w:lang w:val="en-US" w:bidi="en-US"/>
    </w:rPr>
  </w:style>
  <w:style w:type="character" w:customStyle="1" w:styleId="ae">
    <w:name w:val="Выделенная цитата Знак"/>
    <w:basedOn w:val="a0"/>
    <w:link w:val="ad"/>
    <w:uiPriority w:val="30"/>
    <w:rsid w:val="00196DBB"/>
    <w:rPr>
      <w:b/>
      <w:i/>
      <w:sz w:val="24"/>
    </w:rPr>
  </w:style>
  <w:style w:type="character" w:styleId="af">
    <w:name w:val="Subtle Emphasis"/>
    <w:uiPriority w:val="19"/>
    <w:qFormat/>
    <w:rsid w:val="00196DBB"/>
    <w:rPr>
      <w:i/>
      <w:color w:val="5A5A5A" w:themeColor="text1" w:themeTint="A5"/>
    </w:rPr>
  </w:style>
  <w:style w:type="character" w:styleId="af0">
    <w:name w:val="Intense Emphasis"/>
    <w:basedOn w:val="a0"/>
    <w:uiPriority w:val="21"/>
    <w:qFormat/>
    <w:rsid w:val="00196DBB"/>
    <w:rPr>
      <w:b/>
      <w:i/>
      <w:sz w:val="24"/>
      <w:szCs w:val="24"/>
      <w:u w:val="single"/>
    </w:rPr>
  </w:style>
  <w:style w:type="character" w:styleId="af1">
    <w:name w:val="Subtle Reference"/>
    <w:basedOn w:val="a0"/>
    <w:uiPriority w:val="31"/>
    <w:qFormat/>
    <w:rsid w:val="00196DBB"/>
    <w:rPr>
      <w:sz w:val="24"/>
      <w:szCs w:val="24"/>
      <w:u w:val="single"/>
    </w:rPr>
  </w:style>
  <w:style w:type="character" w:styleId="af2">
    <w:name w:val="Intense Reference"/>
    <w:basedOn w:val="a0"/>
    <w:uiPriority w:val="32"/>
    <w:qFormat/>
    <w:rsid w:val="00196DBB"/>
    <w:rPr>
      <w:b/>
      <w:sz w:val="24"/>
      <w:u w:val="single"/>
    </w:rPr>
  </w:style>
  <w:style w:type="character" w:styleId="af3">
    <w:name w:val="Book Title"/>
    <w:basedOn w:val="a0"/>
    <w:uiPriority w:val="33"/>
    <w:qFormat/>
    <w:rsid w:val="00196DBB"/>
    <w:rPr>
      <w:rFonts w:asciiTheme="majorHAnsi" w:eastAsiaTheme="majorEastAsia" w:hAnsiTheme="majorHAnsi"/>
      <w:b/>
      <w:i/>
      <w:sz w:val="24"/>
      <w:szCs w:val="24"/>
    </w:rPr>
  </w:style>
  <w:style w:type="paragraph" w:styleId="af4">
    <w:name w:val="TOC Heading"/>
    <w:basedOn w:val="1"/>
    <w:next w:val="a"/>
    <w:uiPriority w:val="39"/>
    <w:semiHidden/>
    <w:unhideWhenUsed/>
    <w:qFormat/>
    <w:rsid w:val="00196DBB"/>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1700</Words>
  <Characters>9693</Characters>
  <Application>Microsoft Office Word</Application>
  <DocSecurity>0</DocSecurity>
  <Lines>80</Lines>
  <Paragraphs>22</Paragraphs>
  <ScaleCrop>false</ScaleCrop>
  <Company>Microsoft</Company>
  <LinksUpToDate>false</LinksUpToDate>
  <CharactersWithSpaces>11371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Беккер Ж.С</cp:lastModifiedBy>
  <cp:revision>7</cp:revision>
  <cp:lastPrinted>2021-03-02T13:47:00Z</cp:lastPrinted>
  <dcterms:created xsi:type="dcterms:W3CDTF">2021-01-27T12:12:00Z</dcterms:created>
  <dcterms:modified xsi:type="dcterms:W3CDTF">2021-03-03T06:57:00Z</dcterms:modified>
</cp:coreProperties>
</file>