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0A4D52" w:rsidTr="00AE45A8">
        <w:trPr>
          <w:jc w:val="right"/>
        </w:trPr>
        <w:tc>
          <w:tcPr>
            <w:tcW w:w="4786" w:type="dxa"/>
          </w:tcPr>
          <w:p w:rsidR="000A4D52" w:rsidRPr="000A4D52" w:rsidRDefault="000A4D52" w:rsidP="000A4D5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0A4D52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0A4D52" w:rsidRPr="000A4D52" w:rsidRDefault="000A4D52" w:rsidP="000A4D5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0A4D52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к </w:t>
            </w:r>
            <w:r w:rsidR="0055661C" w:rsidRPr="000A4D52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распоряжению Администрации </w:t>
            </w:r>
          </w:p>
          <w:p w:rsidR="0055661C" w:rsidRPr="000A4D52" w:rsidRDefault="0055661C" w:rsidP="000A4D5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0A4D52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0A4D52" w:rsidRDefault="000A4D52" w:rsidP="000A4D5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A4D52">
              <w:rPr>
                <w:bCs/>
              </w:rPr>
              <w:t>от 24 июля 2024 года № 262</w:t>
            </w:r>
            <w:r w:rsidR="0055661C" w:rsidRPr="000A4D52">
              <w:rPr>
                <w:bCs/>
              </w:rPr>
              <w:t xml:space="preserve"> </w:t>
            </w:r>
          </w:p>
        </w:tc>
      </w:tr>
    </w:tbl>
    <w:p w:rsidR="000A4D52" w:rsidRPr="000A4D52" w:rsidRDefault="000A4D52" w:rsidP="000A4D52">
      <w:pPr>
        <w:spacing w:after="0"/>
        <w:jc w:val="center"/>
        <w:rPr>
          <w:b/>
        </w:rPr>
      </w:pPr>
    </w:p>
    <w:p w:rsidR="00924DB5" w:rsidRPr="000A4D52" w:rsidRDefault="00A93DD0" w:rsidP="000A4D52">
      <w:pPr>
        <w:spacing w:after="0"/>
        <w:jc w:val="center"/>
        <w:rPr>
          <w:b/>
        </w:rPr>
      </w:pPr>
      <w:r w:rsidRPr="000A4D52">
        <w:rPr>
          <w:b/>
        </w:rPr>
        <w:t xml:space="preserve">Описание объекта закупки в соответствии со статьей 33 Федерального закона </w:t>
      </w:r>
      <w:r w:rsidRPr="000A4D5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A4D52">
        <w:rPr>
          <w:b/>
        </w:rPr>
        <w:br/>
        <w:t>(далее - Федеральный закон от 05 апреля 2013 года № 44-ФЗ)</w:t>
      </w:r>
    </w:p>
    <w:p w:rsidR="00A1074A" w:rsidRPr="000A4D52" w:rsidRDefault="00A1074A" w:rsidP="000A4D52">
      <w:pPr>
        <w:spacing w:after="0"/>
        <w:rPr>
          <w:b/>
        </w:rPr>
      </w:pPr>
    </w:p>
    <w:p w:rsidR="00A1074A" w:rsidRPr="000A4D52" w:rsidRDefault="00A1074A" w:rsidP="000A4D52">
      <w:pPr>
        <w:numPr>
          <w:ilvl w:val="0"/>
          <w:numId w:val="11"/>
        </w:numPr>
        <w:spacing w:after="0"/>
        <w:ind w:left="0" w:firstLine="0"/>
        <w:jc w:val="center"/>
      </w:pPr>
      <w:r w:rsidRPr="000A4D52">
        <w:rPr>
          <w:b/>
        </w:rPr>
        <w:t>Общие показатели</w:t>
      </w:r>
    </w:p>
    <w:p w:rsidR="00A1074A" w:rsidRPr="000A4D52" w:rsidRDefault="00A1074A" w:rsidP="000A4D52">
      <w:pPr>
        <w:spacing w:after="0"/>
        <w:ind w:firstLine="709"/>
      </w:pPr>
      <w:r w:rsidRPr="000A4D52">
        <w:rPr>
          <w:b/>
          <w:snapToGrid w:val="0"/>
        </w:rPr>
        <w:t>1.1.</w:t>
      </w:r>
      <w:r w:rsidR="000A4D52" w:rsidRPr="000A4D52">
        <w:rPr>
          <w:b/>
          <w:snapToGrid w:val="0"/>
        </w:rPr>
        <w:t xml:space="preserve"> </w:t>
      </w:r>
      <w:r w:rsidRPr="000A4D52">
        <w:rPr>
          <w:b/>
          <w:snapToGrid w:val="0"/>
        </w:rPr>
        <w:t xml:space="preserve">Наименование и описание объекта закупки: </w:t>
      </w:r>
      <w:r w:rsidR="000A4D52" w:rsidRPr="000A4D52">
        <w:t xml:space="preserve">поставка монитора </w:t>
      </w:r>
      <w:r w:rsidRPr="000A4D52">
        <w:t>для нужд Администрации МО "Ленский муниципальный район".</w:t>
      </w:r>
    </w:p>
    <w:p w:rsidR="00A1074A" w:rsidRPr="000A4D52" w:rsidRDefault="000A4D52" w:rsidP="000A4D52">
      <w:pPr>
        <w:spacing w:after="0"/>
        <w:ind w:firstLine="709"/>
        <w:rPr>
          <w:highlight w:val="yellow"/>
        </w:rPr>
      </w:pPr>
      <w:r w:rsidRPr="000A4D52">
        <w:rPr>
          <w:b/>
        </w:rPr>
        <w:t xml:space="preserve">1.2. </w:t>
      </w:r>
      <w:r w:rsidR="00A1074A" w:rsidRPr="000A4D52">
        <w:rPr>
          <w:b/>
        </w:rPr>
        <w:t xml:space="preserve">Источник финансирования: </w:t>
      </w:r>
      <w:r w:rsidRPr="000A4D52">
        <w:t xml:space="preserve">средства </w:t>
      </w:r>
      <w:r w:rsidR="00A1074A" w:rsidRPr="000A4D52">
        <w:t>бюджета МО «Ленский муниципальный район»</w:t>
      </w:r>
    </w:p>
    <w:p w:rsidR="00A1074A" w:rsidRPr="000A4D52" w:rsidRDefault="00A1074A" w:rsidP="000A4D52">
      <w:pPr>
        <w:tabs>
          <w:tab w:val="left" w:pos="567"/>
          <w:tab w:val="left" w:pos="9247"/>
        </w:tabs>
        <w:spacing w:after="0"/>
        <w:ind w:firstLine="709"/>
        <w:rPr>
          <w:bCs/>
          <w:lang/>
        </w:rPr>
      </w:pPr>
      <w:r w:rsidRPr="000A4D52">
        <w:rPr>
          <w:b/>
          <w:bCs/>
          <w:lang/>
        </w:rPr>
        <w:t xml:space="preserve">1.3. Место поставки Товара: </w:t>
      </w:r>
      <w:r w:rsidRPr="000A4D52">
        <w:rPr>
          <w:bCs/>
          <w:lang/>
        </w:rPr>
        <w:t xml:space="preserve">165780, РФ, Архангельская область, Ленского района, с.Яренск, </w:t>
      </w:r>
      <w:r w:rsidR="000A4D52" w:rsidRPr="000A4D52">
        <w:rPr>
          <w:bCs/>
        </w:rPr>
        <w:t>у</w:t>
      </w:r>
      <w:r w:rsidRPr="000A4D52">
        <w:rPr>
          <w:bCs/>
          <w:lang/>
        </w:rPr>
        <w:t xml:space="preserve">л. </w:t>
      </w:r>
      <w:proofErr w:type="spellStart"/>
      <w:r w:rsidRPr="000A4D52">
        <w:rPr>
          <w:bCs/>
          <w:lang/>
        </w:rPr>
        <w:t>Бр</w:t>
      </w:r>
      <w:proofErr w:type="spellEnd"/>
      <w:r w:rsidRPr="000A4D52">
        <w:rPr>
          <w:bCs/>
          <w:lang/>
        </w:rPr>
        <w:t xml:space="preserve">. </w:t>
      </w:r>
      <w:r w:rsidR="000A4D52" w:rsidRPr="000A4D52">
        <w:rPr>
          <w:bCs/>
          <w:lang/>
        </w:rPr>
        <w:t xml:space="preserve">Покровских, д. 19, кабинет 40, </w:t>
      </w:r>
      <w:r w:rsidRPr="000A4D52">
        <w:rPr>
          <w:bCs/>
          <w:lang/>
        </w:rPr>
        <w:t>этаж 2.</w:t>
      </w:r>
    </w:p>
    <w:p w:rsidR="00A1074A" w:rsidRPr="000A4D52" w:rsidRDefault="000A4D52" w:rsidP="000A4D52">
      <w:pPr>
        <w:tabs>
          <w:tab w:val="left" w:pos="9247"/>
        </w:tabs>
        <w:spacing w:after="0"/>
        <w:ind w:firstLine="709"/>
        <w:rPr>
          <w:b/>
          <w:lang/>
        </w:rPr>
      </w:pPr>
      <w:r w:rsidRPr="000A4D52">
        <w:rPr>
          <w:b/>
          <w:lang/>
        </w:rPr>
        <w:t xml:space="preserve">1.4. </w:t>
      </w:r>
      <w:r w:rsidR="00A1074A" w:rsidRPr="000A4D52">
        <w:rPr>
          <w:b/>
          <w:lang/>
        </w:rPr>
        <w:t>Сроки начала и окончания поставки Товара:</w:t>
      </w:r>
      <w:r w:rsidR="00A1074A" w:rsidRPr="000A4D52">
        <w:rPr>
          <w:lang/>
        </w:rPr>
        <w:t xml:space="preserve"> </w:t>
      </w:r>
    </w:p>
    <w:p w:rsidR="00A1074A" w:rsidRPr="000A4D52" w:rsidRDefault="00A1074A" w:rsidP="000A4D52">
      <w:pPr>
        <w:tabs>
          <w:tab w:val="left" w:pos="9247"/>
        </w:tabs>
        <w:spacing w:after="0"/>
        <w:ind w:firstLine="709"/>
        <w:rPr>
          <w:lang/>
        </w:rPr>
      </w:pPr>
      <w:r w:rsidRPr="000A4D52">
        <w:rPr>
          <w:lang/>
        </w:rPr>
        <w:t xml:space="preserve">Начало поставки Товара: </w:t>
      </w:r>
      <w:r w:rsidRPr="000A4D52">
        <w:rPr>
          <w:bCs/>
          <w:lang/>
        </w:rPr>
        <w:t>С даты подписания заказчиком контракта в ЕИС.</w:t>
      </w:r>
    </w:p>
    <w:p w:rsidR="00A1074A" w:rsidRPr="000A4D52" w:rsidRDefault="00A1074A" w:rsidP="000A4D52">
      <w:pPr>
        <w:tabs>
          <w:tab w:val="left" w:pos="9247"/>
        </w:tabs>
        <w:spacing w:after="0"/>
        <w:ind w:firstLine="709"/>
      </w:pPr>
      <w:r w:rsidRPr="000A4D52">
        <w:rPr>
          <w:lang/>
        </w:rPr>
        <w:t>Окончание поставки Товара</w:t>
      </w:r>
      <w:r w:rsidRPr="000A4D52">
        <w:t>: в течении 20 календарных дней с даты подписания контракта.</w:t>
      </w:r>
    </w:p>
    <w:p w:rsidR="00DD2811" w:rsidRPr="000A4D52" w:rsidRDefault="00DD2811" w:rsidP="000A4D52">
      <w:pPr>
        <w:tabs>
          <w:tab w:val="left" w:pos="9247"/>
        </w:tabs>
        <w:spacing w:after="0"/>
        <w:ind w:firstLine="709"/>
      </w:pPr>
      <w:r w:rsidRPr="000A4D52">
        <w:rPr>
          <w:b/>
        </w:rPr>
        <w:t>1.5. Количество товара</w:t>
      </w:r>
      <w:r w:rsidRPr="000A4D52">
        <w:t xml:space="preserve"> – 1 штука.</w:t>
      </w:r>
    </w:p>
    <w:p w:rsidR="00A1074A" w:rsidRPr="000A4D52" w:rsidRDefault="00A1074A" w:rsidP="000A4D52">
      <w:pPr>
        <w:spacing w:after="0"/>
        <w:ind w:firstLine="709"/>
      </w:pPr>
      <w:r w:rsidRPr="000A4D52">
        <w:rPr>
          <w:b/>
        </w:rPr>
        <w:t>1.</w:t>
      </w:r>
      <w:r w:rsidR="00DD2811" w:rsidRPr="000A4D52">
        <w:rPr>
          <w:b/>
        </w:rPr>
        <w:t>6</w:t>
      </w:r>
      <w:r w:rsidRPr="000A4D52">
        <w:rPr>
          <w:b/>
        </w:rPr>
        <w:t>. Цель проведения закупки</w:t>
      </w:r>
      <w:r w:rsidRPr="000A4D52">
        <w:t>: для обеспечения эффективной работы специалистов Администрации при выполнении  ими своих функций и полномочий.</w:t>
      </w:r>
    </w:p>
    <w:p w:rsidR="00A1074A" w:rsidRPr="000A4D52" w:rsidRDefault="00A1074A" w:rsidP="000A4D52">
      <w:pPr>
        <w:spacing w:after="0"/>
      </w:pPr>
    </w:p>
    <w:p w:rsidR="00A1074A" w:rsidRPr="000A4D52" w:rsidRDefault="00A1074A" w:rsidP="000A4D52">
      <w:pPr>
        <w:tabs>
          <w:tab w:val="left" w:pos="8538"/>
        </w:tabs>
        <w:spacing w:after="0"/>
        <w:rPr>
          <w:b/>
          <w:bCs/>
        </w:rPr>
      </w:pPr>
      <w:r w:rsidRPr="000A4D52">
        <w:rPr>
          <w:b/>
          <w:bCs/>
        </w:rPr>
        <w:t>2.</w:t>
      </w:r>
      <w:r w:rsidR="000A4D52" w:rsidRPr="000A4D52">
        <w:rPr>
          <w:b/>
          <w:bCs/>
        </w:rPr>
        <w:t xml:space="preserve"> </w:t>
      </w:r>
      <w:r w:rsidRPr="000A4D52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A1074A" w:rsidRPr="000A4D52" w:rsidRDefault="00A1074A" w:rsidP="000A4D52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A1074A" w:rsidRPr="000A4D52" w:rsidRDefault="00A1074A" w:rsidP="000A4D52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>Поставляемый Товар должен быть работоспособным и обеспечивать</w:t>
      </w:r>
    </w:p>
    <w:p w:rsidR="00A1074A" w:rsidRPr="000A4D52" w:rsidRDefault="00A1074A" w:rsidP="000A4D52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>предусмотренную производителем функциональность.</w:t>
      </w:r>
    </w:p>
    <w:p w:rsidR="00A1074A" w:rsidRPr="000A4D52" w:rsidRDefault="00A1074A" w:rsidP="000A4D52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>Весь Товар должен поставляться готовым к его применению заказчиком.</w:t>
      </w:r>
    </w:p>
    <w:p w:rsidR="00A1074A" w:rsidRPr="000A4D52" w:rsidRDefault="00A1074A" w:rsidP="000A4D52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 xml:space="preserve">Товар поставляется в </w:t>
      </w:r>
      <w:proofErr w:type="gramStart"/>
      <w:r w:rsidRPr="000A4D52">
        <w:rPr>
          <w:rFonts w:eastAsia="Calibri"/>
          <w:color w:val="000000"/>
        </w:rPr>
        <w:t>индивидуальной упаковке, обеспечивающей полную сохранность и его защиту каких бы то ни было</w:t>
      </w:r>
      <w:proofErr w:type="gramEnd"/>
      <w:r w:rsidRPr="000A4D52">
        <w:rPr>
          <w:rFonts w:eastAsia="Calibri"/>
          <w:color w:val="000000"/>
        </w:rPr>
        <w:t xml:space="preserve"> повреждений во время транспортировки и хранения.</w:t>
      </w:r>
    </w:p>
    <w:p w:rsidR="00A1074A" w:rsidRPr="000A4D52" w:rsidRDefault="00A1074A" w:rsidP="000A4D52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>При приёмке Товара должно быть осмотрено уполномоченным представителем 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A1074A" w:rsidRPr="000A4D52" w:rsidRDefault="00A1074A" w:rsidP="000A4D52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>Приёмка Товара по количеству и комплектности производится не позднее 10 рабочих  дней со дня поставки Заказчику.</w:t>
      </w:r>
    </w:p>
    <w:p w:rsidR="00A1074A" w:rsidRPr="000A4D52" w:rsidRDefault="00A1074A" w:rsidP="000A4D52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0A4D52">
        <w:rPr>
          <w:rFonts w:eastAsia="Calibri"/>
          <w:color w:val="000000"/>
        </w:rPr>
        <w:t xml:space="preserve">В случае обнаружения во время приёмки Товара по количеству, комплектности 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0A4D52">
        <w:rPr>
          <w:rFonts w:eastAsia="Calibri"/>
          <w:color w:val="000000"/>
        </w:rPr>
        <w:t>расходы</w:t>
      </w:r>
      <w:proofErr w:type="gramEnd"/>
      <w:r w:rsidRPr="000A4D52">
        <w:rPr>
          <w:rFonts w:eastAsia="Calibri"/>
          <w:color w:val="000000"/>
        </w:rPr>
        <w:t xml:space="preserve"> направле</w:t>
      </w:r>
      <w:r w:rsidR="000A4D52" w:rsidRPr="000A4D52">
        <w:rPr>
          <w:rFonts w:eastAsia="Calibri"/>
          <w:color w:val="000000"/>
        </w:rPr>
        <w:t xml:space="preserve">нные на </w:t>
      </w:r>
      <w:proofErr w:type="spellStart"/>
      <w:r w:rsidR="000A4D52" w:rsidRPr="000A4D52">
        <w:rPr>
          <w:rFonts w:eastAsia="Calibri"/>
          <w:color w:val="000000"/>
        </w:rPr>
        <w:t>доукомплектацию</w:t>
      </w:r>
      <w:proofErr w:type="spellEnd"/>
      <w:r w:rsidR="000A4D52" w:rsidRPr="000A4D52">
        <w:rPr>
          <w:rFonts w:eastAsia="Calibri"/>
          <w:color w:val="000000"/>
        </w:rPr>
        <w:t xml:space="preserve"> Товара,</w:t>
      </w:r>
      <w:r w:rsidRPr="000A4D52">
        <w:rPr>
          <w:rFonts w:eastAsia="Calibri"/>
          <w:color w:val="000000"/>
        </w:rPr>
        <w:t xml:space="preserve">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A1074A" w:rsidRPr="000A4D52" w:rsidRDefault="00A1074A" w:rsidP="000A4D52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</w:p>
    <w:p w:rsidR="000A4D52" w:rsidRPr="000A4D52" w:rsidRDefault="000A4D52" w:rsidP="000A4D52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</w:p>
    <w:p w:rsidR="000A4D52" w:rsidRPr="000A4D52" w:rsidRDefault="000A4D52" w:rsidP="000A4D52">
      <w:pPr>
        <w:tabs>
          <w:tab w:val="left" w:pos="1418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</w:p>
    <w:p w:rsidR="00A1074A" w:rsidRPr="000A4D52" w:rsidRDefault="00A1074A" w:rsidP="000A4D52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ind w:left="0" w:firstLine="0"/>
        <w:jc w:val="left"/>
        <w:rPr>
          <w:rFonts w:eastAsia="Calibri"/>
          <w:color w:val="000000"/>
        </w:rPr>
      </w:pPr>
      <w:r w:rsidRPr="000A4D52">
        <w:rPr>
          <w:rFonts w:eastAsia="Calibri"/>
          <w:b/>
          <w:color w:val="000000"/>
        </w:rPr>
        <w:lastRenderedPageBreak/>
        <w:t xml:space="preserve">Технические </w:t>
      </w:r>
      <w:r w:rsidRPr="000A4D52">
        <w:rPr>
          <w:rFonts w:eastAsia="Calibri"/>
          <w:b/>
          <w:bCs/>
          <w:color w:val="000000"/>
        </w:rPr>
        <w:t>характеристики поставляемого Товара:</w:t>
      </w:r>
    </w:p>
    <w:p w:rsidR="00D95719" w:rsidRPr="000A4D52" w:rsidRDefault="00D95719" w:rsidP="000A4D52">
      <w:pPr>
        <w:tabs>
          <w:tab w:val="left" w:pos="284"/>
        </w:tabs>
        <w:spacing w:after="0"/>
        <w:rPr>
          <w:rFonts w:eastAsia="Calibri"/>
          <w:b/>
          <w:bCs/>
          <w:sz w:val="21"/>
          <w:szCs w:val="21"/>
        </w:rPr>
      </w:pPr>
    </w:p>
    <w:tbl>
      <w:tblPr>
        <w:tblW w:w="9196" w:type="dxa"/>
        <w:tblCellMar>
          <w:left w:w="0" w:type="dxa"/>
          <w:right w:w="0" w:type="dxa"/>
        </w:tblCellMar>
        <w:tblLook w:val="04A0"/>
      </w:tblPr>
      <w:tblGrid>
        <w:gridCol w:w="1552"/>
        <w:gridCol w:w="1267"/>
        <w:gridCol w:w="1623"/>
        <w:gridCol w:w="1623"/>
        <w:gridCol w:w="1623"/>
        <w:gridCol w:w="1508"/>
      </w:tblGrid>
      <w:tr w:rsidR="00662FAF" w:rsidRPr="000A4D52" w:rsidTr="000A4D52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Код позиции</w:t>
            </w:r>
          </w:p>
        </w:tc>
        <w:tc>
          <w:tcPr>
            <w:tcW w:w="6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Характеристики товара, работы, услуги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4D52">
              <w:rPr>
                <w:b/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</w:tr>
      <w:tr w:rsidR="00662FAF" w:rsidRPr="000A4D52" w:rsidTr="000A4D52"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Монитор, подключаемый к компьютеру</w:t>
            </w:r>
            <w:r w:rsidRPr="000A4D52">
              <w:rPr>
                <w:color w:val="000000"/>
                <w:sz w:val="20"/>
                <w:szCs w:val="20"/>
              </w:rPr>
              <w:br/>
              <w:t>Идентификатор: 156627117</w:t>
            </w: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26.20.17.110-00000032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Блок питания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Внешний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Возможность поворота экрана по вертикали (портретный режим)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Возможность поворота экрана по горизонтали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Время отклика, мс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&lt; 2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Глубина цвета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Бит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Динамическая контрастность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≥10 000 000:1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Интерфейс подключения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VGA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HDMI</w:t>
            </w:r>
          </w:p>
        </w:tc>
        <w:tc>
          <w:tcPr>
            <w:tcW w:w="16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 xml:space="preserve">Кабель для подключения к </w:t>
            </w:r>
            <w:r w:rsidRPr="000A4D52">
              <w:rPr>
                <w:color w:val="000000"/>
                <w:sz w:val="20"/>
                <w:szCs w:val="20"/>
              </w:rPr>
              <w:lastRenderedPageBreak/>
              <w:t>источнику изображения в комплекте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 xml:space="preserve">Значение характеристики </w:t>
            </w:r>
            <w:r w:rsidRPr="000A4D52">
              <w:rPr>
                <w:color w:val="000000"/>
                <w:sz w:val="20"/>
                <w:szCs w:val="20"/>
              </w:rPr>
              <w:lastRenderedPageBreak/>
              <w:t>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Количество портов HDMI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 1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Контрастность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≥1000:1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Наличие возможности крепления на стену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Наличие встроенной акустической системы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Наличие сенсорного экрана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Наличие функции регулировки наклона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Наличие функции регулировки по высоте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Настенное крепление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Размер диагонали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 23.8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Дюйм (25,4 мм)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 xml:space="preserve">Участник закупки </w:t>
            </w:r>
            <w:r w:rsidRPr="000A4D52">
              <w:rPr>
                <w:color w:val="000000"/>
                <w:sz w:val="20"/>
                <w:szCs w:val="20"/>
              </w:rPr>
              <w:lastRenderedPageBreak/>
              <w:t>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Разрешение экрана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1920 x 1080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Разъем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0A4D52">
              <w:rPr>
                <w:color w:val="000000"/>
                <w:sz w:val="20"/>
                <w:szCs w:val="20"/>
              </w:rPr>
              <w:t>Mini-Jack</w:t>
            </w:r>
            <w:proofErr w:type="spellEnd"/>
            <w:r w:rsidRPr="000A4D52">
              <w:rPr>
                <w:color w:val="000000"/>
                <w:sz w:val="20"/>
                <w:szCs w:val="20"/>
              </w:rPr>
              <w:t xml:space="preserve"> (3,5 мм) выход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Стандарт крепления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VESA 100 x 100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Технология изготовления матрицы дисплея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0A4D52">
              <w:rPr>
                <w:color w:val="000000"/>
                <w:sz w:val="20"/>
                <w:szCs w:val="20"/>
                <w:lang w:val="en-US"/>
              </w:rPr>
              <w:t xml:space="preserve">IPS (PLS, ADS, AAS, FFS, SFT, New Mode2, </w:t>
            </w:r>
            <w:proofErr w:type="spellStart"/>
            <w:r w:rsidRPr="000A4D52">
              <w:rPr>
                <w:color w:val="000000"/>
                <w:sz w:val="20"/>
                <w:szCs w:val="20"/>
                <w:lang w:val="en-US"/>
              </w:rPr>
              <w:t>Vistarich</w:t>
            </w:r>
            <w:proofErr w:type="spellEnd"/>
            <w:r w:rsidRPr="000A4D52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Тип кабеля для подключения к источнику изображения в комплекте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HDMI-HDMI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Угол обзора по вертикали, градус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 178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Угол обзора по горизонтали, градус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 178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Формат изображения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16:9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 xml:space="preserve">Частота </w:t>
            </w:r>
            <w:r w:rsidRPr="000A4D52">
              <w:rPr>
                <w:color w:val="000000"/>
                <w:sz w:val="20"/>
                <w:szCs w:val="20"/>
              </w:rPr>
              <w:lastRenderedPageBreak/>
              <w:t>обновления экрана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lastRenderedPageBreak/>
              <w:t>≥ 100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Герц</w:t>
            </w: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 xml:space="preserve">Участник </w:t>
            </w:r>
            <w:r w:rsidRPr="000A4D52">
              <w:rPr>
                <w:color w:val="000000"/>
                <w:sz w:val="20"/>
                <w:szCs w:val="20"/>
              </w:rPr>
              <w:lastRenderedPageBreak/>
              <w:t>закупки указывает в заявке конкретное значение характеристики</w:t>
            </w:r>
          </w:p>
        </w:tc>
      </w:tr>
      <w:tr w:rsidR="00662FAF" w:rsidRPr="000A4D52" w:rsidTr="000A4D52"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Яркость, кд/м</w:t>
            </w:r>
            <w:proofErr w:type="gramStart"/>
            <w:r w:rsidRPr="000A4D52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≥ 250 и &lt; 300</w:t>
            </w:r>
          </w:p>
        </w:tc>
        <w:tc>
          <w:tcPr>
            <w:tcW w:w="1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2FAF" w:rsidRPr="000A4D52" w:rsidRDefault="00662FAF" w:rsidP="000A4D5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A4D5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</w:tbl>
    <w:p w:rsidR="00D95719" w:rsidRPr="000A4D52" w:rsidRDefault="00D95719" w:rsidP="000A4D52">
      <w:pPr>
        <w:tabs>
          <w:tab w:val="left" w:pos="284"/>
        </w:tabs>
        <w:spacing w:after="0"/>
        <w:rPr>
          <w:rFonts w:eastAsia="Calibri"/>
          <w:color w:val="000000"/>
          <w:sz w:val="21"/>
          <w:szCs w:val="21"/>
          <w:lang w:eastAsia="en-US"/>
        </w:rPr>
      </w:pPr>
    </w:p>
    <w:p w:rsidR="00D95719" w:rsidRPr="000A4D52" w:rsidRDefault="00D95719" w:rsidP="000A4D52">
      <w:pPr>
        <w:tabs>
          <w:tab w:val="left" w:pos="284"/>
        </w:tabs>
        <w:spacing w:after="0"/>
        <w:rPr>
          <w:rFonts w:eastAsia="Calibri"/>
          <w:color w:val="000000"/>
          <w:sz w:val="21"/>
          <w:szCs w:val="21"/>
          <w:lang w:eastAsia="en-US"/>
        </w:rPr>
      </w:pPr>
    </w:p>
    <w:p w:rsidR="00A1074A" w:rsidRPr="000A4D52" w:rsidRDefault="00A1074A" w:rsidP="000A4D52">
      <w:pPr>
        <w:tabs>
          <w:tab w:val="left" w:pos="284"/>
        </w:tabs>
        <w:spacing w:after="0"/>
        <w:rPr>
          <w:rFonts w:eastAsia="Calibri"/>
          <w:color w:val="000000"/>
          <w:sz w:val="21"/>
          <w:szCs w:val="21"/>
          <w:lang w:eastAsia="en-US"/>
        </w:rPr>
      </w:pPr>
      <w:r w:rsidRPr="000A4D52">
        <w:rPr>
          <w:rFonts w:eastAsia="Calibri"/>
          <w:color w:val="000000"/>
          <w:sz w:val="21"/>
          <w:szCs w:val="21"/>
          <w:lang w:eastAsia="en-US"/>
        </w:rPr>
        <w:t>- по показателям, значения которых отмечены  «*» и указаны со знаками «≥», «</w:t>
      </w:r>
      <w:r w:rsidRPr="000A4D52">
        <w:rPr>
          <w:rFonts w:eastAsia="Calibri"/>
          <w:sz w:val="21"/>
          <w:szCs w:val="21"/>
          <w:lang w:eastAsia="en-US"/>
        </w:rPr>
        <w:t>≤», «не менее»</w:t>
      </w:r>
      <w:proofErr w:type="gramStart"/>
      <w:r w:rsidRPr="000A4D52">
        <w:rPr>
          <w:rFonts w:eastAsia="Calibri"/>
          <w:sz w:val="21"/>
          <w:szCs w:val="21"/>
          <w:lang w:eastAsia="en-US"/>
        </w:rPr>
        <w:t xml:space="preserve"> ,</w:t>
      </w:r>
      <w:proofErr w:type="gramEnd"/>
      <w:r w:rsidRPr="000A4D52">
        <w:rPr>
          <w:rFonts w:eastAsia="Calibri"/>
          <w:sz w:val="21"/>
          <w:szCs w:val="21"/>
          <w:lang w:eastAsia="en-US"/>
        </w:rPr>
        <w:t xml:space="preserve"> «не более»</w:t>
      </w:r>
      <w:r w:rsidRPr="000A4D52">
        <w:rPr>
          <w:rFonts w:eastAsia="Calibri"/>
          <w:color w:val="000000"/>
          <w:sz w:val="21"/>
          <w:szCs w:val="21"/>
          <w:lang w:eastAsia="en-US"/>
        </w:rPr>
        <w:t xml:space="preserve"> указываются конкретные значения, соответствующие описанию объекта закупки;</w:t>
      </w:r>
    </w:p>
    <w:p w:rsidR="00A1074A" w:rsidRPr="000A4D52" w:rsidRDefault="00A1074A" w:rsidP="000A4D52">
      <w:pPr>
        <w:tabs>
          <w:tab w:val="left" w:pos="284"/>
        </w:tabs>
        <w:spacing w:after="0"/>
        <w:rPr>
          <w:rFonts w:eastAsia="Calibri"/>
          <w:iCs/>
          <w:snapToGrid w:val="0"/>
          <w:color w:val="000000"/>
          <w:sz w:val="21"/>
          <w:szCs w:val="21"/>
        </w:rPr>
      </w:pPr>
      <w:r w:rsidRPr="000A4D52">
        <w:rPr>
          <w:sz w:val="21"/>
          <w:szCs w:val="21"/>
        </w:rPr>
        <w:t xml:space="preserve"> </w:t>
      </w:r>
      <w:r w:rsidRPr="000A4D52">
        <w:rPr>
          <w:rFonts w:eastAsia="Calibri"/>
          <w:color w:val="000000"/>
          <w:sz w:val="21"/>
          <w:szCs w:val="21"/>
          <w:lang w:eastAsia="en-US"/>
        </w:rPr>
        <w:t>-все остальные показатели не подлежат изменению и указываются участниками закупки в соответствии с описанием объекта закупки.</w:t>
      </w:r>
    </w:p>
    <w:p w:rsidR="00A1074A" w:rsidRPr="000A4D52" w:rsidRDefault="00A1074A" w:rsidP="000A4D52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</w:p>
    <w:p w:rsidR="00A1074A" w:rsidRPr="000A4D52" w:rsidRDefault="00A1074A" w:rsidP="000A4D52">
      <w:pPr>
        <w:numPr>
          <w:ilvl w:val="0"/>
          <w:numId w:val="10"/>
        </w:numPr>
        <w:spacing w:after="0"/>
        <w:ind w:left="0" w:firstLine="709"/>
        <w:rPr>
          <w:rFonts w:eastAsia="Calibri"/>
          <w:b/>
          <w:color w:val="000000"/>
          <w:lang/>
        </w:rPr>
      </w:pPr>
      <w:r w:rsidRPr="000A4D52">
        <w:rPr>
          <w:rFonts w:eastAsia="Calibri"/>
          <w:b/>
          <w:color w:val="000000"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A1074A" w:rsidRPr="000A4D52" w:rsidRDefault="00A1074A" w:rsidP="000A4D52">
      <w:pPr>
        <w:spacing w:after="0"/>
        <w:ind w:firstLine="709"/>
        <w:outlineLvl w:val="0"/>
      </w:pPr>
      <w:r w:rsidRPr="000A4D52">
        <w:t>4.1. Гарантия Производителя (завода-изготовителя) Товара – не менее 12 месяцев; 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A1074A" w:rsidRPr="000A4D52" w:rsidRDefault="00A1074A" w:rsidP="000A4D52">
      <w:pPr>
        <w:spacing w:after="0"/>
        <w:ind w:firstLine="709"/>
        <w:outlineLvl w:val="0"/>
      </w:pPr>
      <w:r w:rsidRPr="000A4D52">
        <w:t xml:space="preserve">4.2. Начало исчисления гарантийного срока поставщика на товар устанавливается </w:t>
      </w:r>
      <w:proofErr w:type="gramStart"/>
      <w:r w:rsidRPr="000A4D52">
        <w:t>с даты подписания</w:t>
      </w:r>
      <w:proofErr w:type="gramEnd"/>
      <w:r w:rsidRPr="000A4D52">
        <w:t xml:space="preserve"> сторонами документа о приемке.</w:t>
      </w:r>
    </w:p>
    <w:p w:rsidR="00A1074A" w:rsidRPr="000A4D52" w:rsidRDefault="00A1074A" w:rsidP="000A4D52">
      <w:pPr>
        <w:spacing w:after="0"/>
        <w:ind w:firstLine="709"/>
        <w:outlineLvl w:val="0"/>
      </w:pPr>
      <w:r w:rsidRPr="000A4D52">
        <w:t>4.3. 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A1074A" w:rsidRPr="000A4D52" w:rsidRDefault="00A1074A" w:rsidP="000A4D52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0A4D52">
        <w:rPr>
          <w:snapToGrid w:val="0"/>
        </w:rPr>
        <w:t>4.4. Течение гарантийного срока прерывается на время, со дня письменного</w:t>
      </w:r>
    </w:p>
    <w:p w:rsidR="00A1074A" w:rsidRPr="000A4D52" w:rsidRDefault="00A1074A" w:rsidP="000A4D52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0A4D52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A1074A" w:rsidRPr="000A4D52" w:rsidRDefault="00A1074A" w:rsidP="000A4D52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</w:p>
    <w:p w:rsidR="00A1074A" w:rsidRPr="000A4D52" w:rsidRDefault="00A1074A" w:rsidP="000A4D52">
      <w:pPr>
        <w:spacing w:after="0"/>
        <w:rPr>
          <w:b/>
        </w:rPr>
      </w:pPr>
    </w:p>
    <w:p w:rsidR="00A1074A" w:rsidRPr="000A4D52" w:rsidRDefault="00A1074A" w:rsidP="000A4D52">
      <w:pPr>
        <w:spacing w:after="0"/>
        <w:rPr>
          <w:b/>
        </w:rPr>
      </w:pPr>
    </w:p>
    <w:sectPr w:rsidR="00A1074A" w:rsidRPr="000A4D52" w:rsidSect="000A4D52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D3E" w:rsidRDefault="00630D3E" w:rsidP="003C316D">
      <w:pPr>
        <w:spacing w:after="0"/>
      </w:pPr>
      <w:r>
        <w:separator/>
      </w:r>
    </w:p>
  </w:endnote>
  <w:endnote w:type="continuationSeparator" w:id="0">
    <w:p w:rsidR="00630D3E" w:rsidRDefault="00630D3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D3E" w:rsidRDefault="00630D3E" w:rsidP="003C316D">
      <w:pPr>
        <w:spacing w:after="0"/>
      </w:pPr>
      <w:r>
        <w:separator/>
      </w:r>
    </w:p>
  </w:footnote>
  <w:footnote w:type="continuationSeparator" w:id="0">
    <w:p w:rsidR="00630D3E" w:rsidRDefault="00630D3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A6DCE08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48CADE06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A4D5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645C6"/>
    <w:rsid w:val="00286A0B"/>
    <w:rsid w:val="002A0A54"/>
    <w:rsid w:val="002A630C"/>
    <w:rsid w:val="002A6525"/>
    <w:rsid w:val="002B4A71"/>
    <w:rsid w:val="002C098B"/>
    <w:rsid w:val="002D58D3"/>
    <w:rsid w:val="002D79BC"/>
    <w:rsid w:val="002E64A7"/>
    <w:rsid w:val="002F5581"/>
    <w:rsid w:val="002F77F3"/>
    <w:rsid w:val="00324184"/>
    <w:rsid w:val="00374C2E"/>
    <w:rsid w:val="00375806"/>
    <w:rsid w:val="00382E1E"/>
    <w:rsid w:val="003910FF"/>
    <w:rsid w:val="003A10A5"/>
    <w:rsid w:val="003A1133"/>
    <w:rsid w:val="003C316D"/>
    <w:rsid w:val="0043440F"/>
    <w:rsid w:val="00451389"/>
    <w:rsid w:val="00451E63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20367"/>
    <w:rsid w:val="00630D3E"/>
    <w:rsid w:val="006443EC"/>
    <w:rsid w:val="00647EC0"/>
    <w:rsid w:val="00652AD8"/>
    <w:rsid w:val="00653E95"/>
    <w:rsid w:val="00662FAF"/>
    <w:rsid w:val="00671476"/>
    <w:rsid w:val="0067299F"/>
    <w:rsid w:val="00673CB0"/>
    <w:rsid w:val="00695997"/>
    <w:rsid w:val="006C257E"/>
    <w:rsid w:val="006D7FB0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8590A"/>
    <w:rsid w:val="007A3F6C"/>
    <w:rsid w:val="007B5349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A7E75"/>
    <w:rsid w:val="008B30F2"/>
    <w:rsid w:val="008E2533"/>
    <w:rsid w:val="008F7BE8"/>
    <w:rsid w:val="009031D0"/>
    <w:rsid w:val="00916F05"/>
    <w:rsid w:val="00924DB5"/>
    <w:rsid w:val="009257FF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D42A4"/>
    <w:rsid w:val="009F2B4D"/>
    <w:rsid w:val="00A040A2"/>
    <w:rsid w:val="00A1074A"/>
    <w:rsid w:val="00A16193"/>
    <w:rsid w:val="00A16F52"/>
    <w:rsid w:val="00A3032B"/>
    <w:rsid w:val="00A34C3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725C6"/>
    <w:rsid w:val="00B927CA"/>
    <w:rsid w:val="00BD325D"/>
    <w:rsid w:val="00C04D4C"/>
    <w:rsid w:val="00C04F6B"/>
    <w:rsid w:val="00C06B0D"/>
    <w:rsid w:val="00C129DB"/>
    <w:rsid w:val="00C2588C"/>
    <w:rsid w:val="00C34C3F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95719"/>
    <w:rsid w:val="00DB1E27"/>
    <w:rsid w:val="00DB3F18"/>
    <w:rsid w:val="00DB4BC5"/>
    <w:rsid w:val="00DB4EB7"/>
    <w:rsid w:val="00DD2811"/>
    <w:rsid w:val="00DD41F8"/>
    <w:rsid w:val="00DD5E66"/>
    <w:rsid w:val="00DD66F3"/>
    <w:rsid w:val="00DD7680"/>
    <w:rsid w:val="00E10A9D"/>
    <w:rsid w:val="00E14F48"/>
    <w:rsid w:val="00E21396"/>
    <w:rsid w:val="00E2329E"/>
    <w:rsid w:val="00E4304B"/>
    <w:rsid w:val="00E531A5"/>
    <w:rsid w:val="00E84B16"/>
    <w:rsid w:val="00EA7A79"/>
    <w:rsid w:val="00EB190A"/>
    <w:rsid w:val="00ED1420"/>
    <w:rsid w:val="00ED7D9F"/>
    <w:rsid w:val="00EF1B00"/>
    <w:rsid w:val="00F32D31"/>
    <w:rsid w:val="00F74B60"/>
    <w:rsid w:val="00F777D0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9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2023-10-30T08:01:00Z</cp:lastPrinted>
  <dcterms:created xsi:type="dcterms:W3CDTF">2024-07-24T08:47:00Z</dcterms:created>
  <dcterms:modified xsi:type="dcterms:W3CDTF">2024-07-24T08:47:00Z</dcterms:modified>
</cp:coreProperties>
</file>