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AE3" w:rsidRDefault="00700CE5" w:rsidP="00700CE5">
      <w:pPr>
        <w:pStyle w:val="2"/>
        <w:spacing w:before="0"/>
        <w:ind w:firstLine="709"/>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к распоряжению </w:t>
      </w:r>
      <w:r w:rsidR="00C80AE3">
        <w:rPr>
          <w:rFonts w:ascii="Times New Roman" w:hAnsi="Times New Roman"/>
          <w:b w:val="0"/>
          <w:bCs w:val="0"/>
          <w:color w:val="auto"/>
          <w:sz w:val="24"/>
          <w:szCs w:val="24"/>
        </w:rPr>
        <w:t xml:space="preserve"> </w:t>
      </w:r>
      <w:r w:rsidRPr="00700CE5">
        <w:rPr>
          <w:rFonts w:ascii="Times New Roman" w:hAnsi="Times New Roman"/>
          <w:b w:val="0"/>
          <w:bCs w:val="0"/>
          <w:color w:val="auto"/>
          <w:sz w:val="24"/>
          <w:szCs w:val="24"/>
        </w:rPr>
        <w:t>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700CE5" w:rsidP="00700CE5">
      <w:pPr>
        <w:jc w:val="right"/>
      </w:pPr>
      <w:r w:rsidRPr="00700CE5">
        <w:rPr>
          <w:bCs/>
        </w:rPr>
        <w:t xml:space="preserve">от </w:t>
      </w:r>
      <w:r w:rsidR="00C80AE3">
        <w:rPr>
          <w:bCs/>
        </w:rPr>
        <w:t>4</w:t>
      </w:r>
      <w:r w:rsidRPr="00700CE5">
        <w:rPr>
          <w:bCs/>
        </w:rPr>
        <w:t xml:space="preserve"> </w:t>
      </w:r>
      <w:r w:rsidR="00EB5926">
        <w:rPr>
          <w:bCs/>
        </w:rPr>
        <w:t xml:space="preserve">сентября </w:t>
      </w:r>
      <w:r w:rsidRPr="00700CE5">
        <w:rPr>
          <w:bCs/>
        </w:rPr>
        <w:t>202</w:t>
      </w:r>
      <w:r w:rsidR="0064648B">
        <w:rPr>
          <w:bCs/>
        </w:rPr>
        <w:t>4</w:t>
      </w:r>
      <w:r w:rsidR="00C80AE3">
        <w:rPr>
          <w:bCs/>
        </w:rPr>
        <w:t xml:space="preserve"> года № 311</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EB5926" w:rsidRDefault="002961B9" w:rsidP="00B84B92">
      <w:pPr>
        <w:ind w:right="-25"/>
        <w:jc w:val="center"/>
        <w:rPr>
          <w:b/>
        </w:rPr>
      </w:pPr>
      <w:r w:rsidRPr="00255456">
        <w:rPr>
          <w:b/>
          <w:bCs/>
          <w:color w:val="000000"/>
          <w:spacing w:val="1"/>
        </w:rPr>
        <w:t xml:space="preserve">на выполнение работ </w:t>
      </w:r>
      <w:r w:rsidR="00EB5926" w:rsidRPr="00EB5926">
        <w:rPr>
          <w:b/>
        </w:rPr>
        <w:t>по благоустройству территории, прилегающей к Дому культуры с. Козьмино в рамках капитального строительства в части реализации инициативных проектов в рамках регионального проекта «Комфортное Поморье»</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EB5926" w:rsidRPr="00EB5926">
        <w:rPr>
          <w:color w:val="000000" w:themeColor="text1"/>
        </w:rPr>
        <w:t xml:space="preserve">по благоустройству территории, прилегающей к Дому культуры с. Козьмино в рамках капитального строительства в части реализации инициативных проектов в рамках регионального проекта «Комфортное Поморье»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847C85" w:rsidRDefault="00700CE5" w:rsidP="00847C85">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EB1CD2">
        <w:rPr>
          <w:snapToGrid w:val="0"/>
        </w:rPr>
        <w:t xml:space="preserve">с </w:t>
      </w:r>
      <w:r w:rsidR="007B3A53">
        <w:rPr>
          <w:snapToGrid w:val="0"/>
        </w:rPr>
        <w:t>даты подписания</w:t>
      </w:r>
      <w:proofErr w:type="gramEnd"/>
      <w:r w:rsidR="007B3A53">
        <w:rPr>
          <w:snapToGrid w:val="0"/>
        </w:rPr>
        <w:t xml:space="preserve"> Контракта в ЕИС Заказчиком  </w:t>
      </w:r>
      <w:r w:rsidR="00847C85" w:rsidRPr="00847C85">
        <w:rPr>
          <w:snapToGrid w:val="0"/>
        </w:rPr>
        <w:t xml:space="preserve">по 30.10.2024 года. </w:t>
      </w:r>
    </w:p>
    <w:p w:rsidR="007407B0" w:rsidRDefault="00847C85" w:rsidP="00847C85">
      <w:pPr>
        <w:rPr>
          <w:bCs/>
        </w:rPr>
      </w:pPr>
      <w:r>
        <w:t xml:space="preserve">          </w:t>
      </w:r>
      <w:r w:rsidR="00700CE5">
        <w:t xml:space="preserve"> 1.</w:t>
      </w:r>
      <w:r w:rsidR="0064648B">
        <w:t>5</w:t>
      </w:r>
      <w:r w:rsidR="00700CE5">
        <w:t xml:space="preserve">. Место </w:t>
      </w:r>
      <w:r w:rsidR="00F4127E">
        <w:t>выполнения р</w:t>
      </w:r>
      <w:r w:rsidR="00700CE5">
        <w:t>абот</w:t>
      </w:r>
      <w:r w:rsidR="002961B9">
        <w:t xml:space="preserve">: </w:t>
      </w:r>
      <w:r w:rsidR="00770F68" w:rsidRPr="00770F68">
        <w:t xml:space="preserve"> </w:t>
      </w:r>
      <w:r w:rsidR="007407B0" w:rsidRPr="007407B0">
        <w:rPr>
          <w:bCs/>
        </w:rPr>
        <w:t>Архангельская область, Ленский район, село Козьмино, улица Первомайская, 40, прилегающая территория МБУ «</w:t>
      </w:r>
      <w:proofErr w:type="spellStart"/>
      <w:r w:rsidR="007407B0" w:rsidRPr="007407B0">
        <w:rPr>
          <w:bCs/>
        </w:rPr>
        <w:t>Козьминский</w:t>
      </w:r>
      <w:proofErr w:type="spellEnd"/>
      <w:r w:rsidR="007407B0" w:rsidRPr="007407B0">
        <w:rPr>
          <w:bCs/>
        </w:rPr>
        <w:t xml:space="preserve"> ЦК»</w:t>
      </w:r>
      <w:r w:rsidR="007407B0">
        <w:rPr>
          <w:bCs/>
        </w:rPr>
        <w:t>.</w:t>
      </w:r>
    </w:p>
    <w:p w:rsidR="00280280" w:rsidRDefault="00280280" w:rsidP="007407B0">
      <w:pPr>
        <w:tabs>
          <w:tab w:val="left" w:pos="709"/>
        </w:tabs>
        <w:contextualSpacing/>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607B74" w:rsidRPr="00607B74">
        <w:t xml:space="preserve"> 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30.05.2024 № 301-24-33-пф-24-055 (далее – Соглашение).   </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794805" w:rsidRPr="00794805">
        <w:t>3 (три) года</w:t>
      </w:r>
      <w:r w:rsidR="00794805">
        <w:t>.</w:t>
      </w:r>
      <w:bookmarkStart w:id="1" w:name="_GoBack"/>
      <w:bookmarkEnd w:id="1"/>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w:t>
      </w:r>
      <w:r>
        <w:lastRenderedPageBreak/>
        <w:t xml:space="preserve">(ГОСТ),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lastRenderedPageBreak/>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7762B4">
        <w:rPr>
          <w:rFonts w:ascii="Times New Roman" w:hAnsi="Times New Roman"/>
          <w:sz w:val="24"/>
          <w:szCs w:val="24"/>
        </w:rPr>
        <w:lastRenderedPageBreak/>
        <w:t xml:space="preserve">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w:t>
      </w:r>
      <w:r w:rsidRPr="00844411">
        <w:rPr>
          <w:lang w:eastAsia="en-US"/>
        </w:rPr>
        <w:lastRenderedPageBreak/>
        <w:t xml:space="preserve">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w:t>
      </w:r>
      <w:r w:rsidRPr="001463E8">
        <w:rPr>
          <w:rFonts w:ascii="Times New Roman" w:hAnsi="Times New Roman" w:cs="Times New Roman"/>
          <w:sz w:val="24"/>
          <w:szCs w:val="24"/>
        </w:rPr>
        <w:lastRenderedPageBreak/>
        <w:t xml:space="preserve">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lastRenderedPageBreak/>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195C13">
        <w:rPr>
          <w:bCs/>
        </w:rPr>
        <w:t>30</w:t>
      </w:r>
      <w:r w:rsidR="001D4D4C">
        <w:rPr>
          <w:bCs/>
        </w:rPr>
        <w:t>.11.</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D4D4C">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D4D4C">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w:t>
      </w:r>
      <w:r w:rsidRPr="00DD47B5">
        <w:lastRenderedPageBreak/>
        <w:t xml:space="preserve">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lastRenderedPageBreak/>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w:t>
      </w:r>
      <w:r w:rsidR="001D4D4C">
        <w:t xml:space="preserve">   </w:t>
      </w: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w:t>
      </w:r>
      <w:r w:rsidR="001D4D4C">
        <w:t xml:space="preserve">  </w:t>
      </w: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w:t>
      </w:r>
      <w:r w:rsidR="001D4D4C">
        <w:t xml:space="preserve">   </w:t>
      </w: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w:t>
      </w:r>
      <w:r w:rsidR="001D4D4C">
        <w:t xml:space="preserve"> </w:t>
      </w: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lastRenderedPageBreak/>
        <w:t>1</w:t>
      </w:r>
      <w:r>
        <w:rPr>
          <w:b/>
          <w:bCs/>
          <w:snapToGrid w:val="0"/>
        </w:rPr>
        <w:t>2</w:t>
      </w:r>
      <w:r w:rsidRPr="0092307B">
        <w:rPr>
          <w:b/>
          <w:bCs/>
          <w:snapToGrid w:val="0"/>
        </w:rPr>
        <w:t>. Заключительные положения</w:t>
      </w:r>
    </w:p>
    <w:p w:rsidR="00700CE5" w:rsidRPr="005B1DF8" w:rsidRDefault="00700CE5" w:rsidP="005B1DF8">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r w:rsidRPr="0092307B">
        <w:rPr>
          <w:snapToGrid w:val="0"/>
        </w:rPr>
        <w:t xml:space="preserve">Контракт </w:t>
      </w:r>
      <w:r>
        <w:rPr>
          <w:snapToGrid w:val="0"/>
        </w:rPr>
        <w:t xml:space="preserve">может быть распечатан по желанию Сторон </w:t>
      </w:r>
      <w:r w:rsidRPr="0092307B">
        <w:rPr>
          <w:snapToGrid w:val="0"/>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968C9"/>
    <w:rsid w:val="000A2115"/>
    <w:rsid w:val="001067C5"/>
    <w:rsid w:val="001402DF"/>
    <w:rsid w:val="001408D9"/>
    <w:rsid w:val="00144214"/>
    <w:rsid w:val="0015664C"/>
    <w:rsid w:val="001614C7"/>
    <w:rsid w:val="00195C13"/>
    <w:rsid w:val="001D4D4C"/>
    <w:rsid w:val="001E5731"/>
    <w:rsid w:val="002170FE"/>
    <w:rsid w:val="00255456"/>
    <w:rsid w:val="00280280"/>
    <w:rsid w:val="00293379"/>
    <w:rsid w:val="002961B9"/>
    <w:rsid w:val="002A6A96"/>
    <w:rsid w:val="002C5368"/>
    <w:rsid w:val="002D1DB7"/>
    <w:rsid w:val="002E02C6"/>
    <w:rsid w:val="003024FD"/>
    <w:rsid w:val="003051B0"/>
    <w:rsid w:val="003460A4"/>
    <w:rsid w:val="003518D6"/>
    <w:rsid w:val="003750C1"/>
    <w:rsid w:val="003A2D31"/>
    <w:rsid w:val="003D01B3"/>
    <w:rsid w:val="003D2C1A"/>
    <w:rsid w:val="003D6A28"/>
    <w:rsid w:val="003E6607"/>
    <w:rsid w:val="003F0800"/>
    <w:rsid w:val="003F4DD9"/>
    <w:rsid w:val="00411E2D"/>
    <w:rsid w:val="00436FCB"/>
    <w:rsid w:val="004A7986"/>
    <w:rsid w:val="004C48EC"/>
    <w:rsid w:val="004F5E29"/>
    <w:rsid w:val="00507C19"/>
    <w:rsid w:val="00516251"/>
    <w:rsid w:val="005176BB"/>
    <w:rsid w:val="0053741C"/>
    <w:rsid w:val="0054001B"/>
    <w:rsid w:val="005476B7"/>
    <w:rsid w:val="005813AB"/>
    <w:rsid w:val="005B1DF8"/>
    <w:rsid w:val="005C53EC"/>
    <w:rsid w:val="005F5A81"/>
    <w:rsid w:val="00607B74"/>
    <w:rsid w:val="0061039A"/>
    <w:rsid w:val="00615B70"/>
    <w:rsid w:val="00623AAF"/>
    <w:rsid w:val="0064648B"/>
    <w:rsid w:val="006910BC"/>
    <w:rsid w:val="006D455D"/>
    <w:rsid w:val="00700CE5"/>
    <w:rsid w:val="007371EE"/>
    <w:rsid w:val="007407B0"/>
    <w:rsid w:val="00750662"/>
    <w:rsid w:val="00764105"/>
    <w:rsid w:val="00770F68"/>
    <w:rsid w:val="0079156B"/>
    <w:rsid w:val="00794805"/>
    <w:rsid w:val="007A0EE2"/>
    <w:rsid w:val="007B3A53"/>
    <w:rsid w:val="00806945"/>
    <w:rsid w:val="00814C30"/>
    <w:rsid w:val="008200DA"/>
    <w:rsid w:val="00825286"/>
    <w:rsid w:val="00830BAF"/>
    <w:rsid w:val="00842A8C"/>
    <w:rsid w:val="00844411"/>
    <w:rsid w:val="00847C85"/>
    <w:rsid w:val="00863A77"/>
    <w:rsid w:val="00876CFD"/>
    <w:rsid w:val="00883A70"/>
    <w:rsid w:val="00885BD6"/>
    <w:rsid w:val="00895B20"/>
    <w:rsid w:val="008B1511"/>
    <w:rsid w:val="008B7EEA"/>
    <w:rsid w:val="008C5EFF"/>
    <w:rsid w:val="008D5D0D"/>
    <w:rsid w:val="00940A0D"/>
    <w:rsid w:val="009502F2"/>
    <w:rsid w:val="00951592"/>
    <w:rsid w:val="009C6139"/>
    <w:rsid w:val="009D0BE0"/>
    <w:rsid w:val="009D37C5"/>
    <w:rsid w:val="00A07214"/>
    <w:rsid w:val="00A6161E"/>
    <w:rsid w:val="00AB7147"/>
    <w:rsid w:val="00AF5A29"/>
    <w:rsid w:val="00B12818"/>
    <w:rsid w:val="00B2087D"/>
    <w:rsid w:val="00B31DEA"/>
    <w:rsid w:val="00B54B34"/>
    <w:rsid w:val="00B84B92"/>
    <w:rsid w:val="00BF6AD0"/>
    <w:rsid w:val="00C071F9"/>
    <w:rsid w:val="00C476AD"/>
    <w:rsid w:val="00C51835"/>
    <w:rsid w:val="00C54799"/>
    <w:rsid w:val="00C75E92"/>
    <w:rsid w:val="00C80AE3"/>
    <w:rsid w:val="00CE5237"/>
    <w:rsid w:val="00DD47B5"/>
    <w:rsid w:val="00DE4EDD"/>
    <w:rsid w:val="00E2689F"/>
    <w:rsid w:val="00E509A2"/>
    <w:rsid w:val="00E53B84"/>
    <w:rsid w:val="00E57D99"/>
    <w:rsid w:val="00E96786"/>
    <w:rsid w:val="00EB1CD2"/>
    <w:rsid w:val="00EB5926"/>
    <w:rsid w:val="00EC5966"/>
    <w:rsid w:val="00EF08ED"/>
    <w:rsid w:val="00EF1D6C"/>
    <w:rsid w:val="00EF59F3"/>
    <w:rsid w:val="00EF76D8"/>
    <w:rsid w:val="00F07B5F"/>
    <w:rsid w:val="00F4127E"/>
    <w:rsid w:val="00F41D69"/>
    <w:rsid w:val="00F715CD"/>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12</Pages>
  <Words>5727</Words>
  <Characters>32650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111</cp:revision>
  <cp:lastPrinted>2023-04-12T09:44:00Z</cp:lastPrinted>
  <dcterms:created xsi:type="dcterms:W3CDTF">2022-02-10T08:51:00Z</dcterms:created>
  <dcterms:modified xsi:type="dcterms:W3CDTF">2024-09-04T07:37:00Z</dcterms:modified>
</cp:coreProperties>
</file>