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9B2132" w:rsidRDefault="0055661C" w:rsidP="009B213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9B213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B2132" w:rsidRDefault="009B2132" w:rsidP="009B213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9B213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9B2132" w:rsidRDefault="009B2132" w:rsidP="009B213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9B2132">
              <w:rPr>
                <w:bCs/>
              </w:rPr>
              <w:t>от 18 октября 2024 года № 369</w:t>
            </w:r>
          </w:p>
        </w:tc>
      </w:tr>
    </w:tbl>
    <w:p w:rsidR="009B2132" w:rsidRDefault="009B2132" w:rsidP="009B2132">
      <w:pPr>
        <w:spacing w:after="0"/>
        <w:jc w:val="center"/>
        <w:rPr>
          <w:b/>
        </w:rPr>
      </w:pPr>
    </w:p>
    <w:p w:rsidR="00077569" w:rsidRPr="001C5F37" w:rsidRDefault="00A93DD0" w:rsidP="009B2132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  <w:r w:rsidR="003C6C75" w:rsidRPr="003417FF">
        <w:rPr>
          <w:sz w:val="28"/>
          <w:szCs w:val="28"/>
        </w:rPr>
        <w:br/>
      </w:r>
      <w:bookmarkStart w:id="0" w:name="_Toc106773689"/>
    </w:p>
    <w:bookmarkEnd w:id="0"/>
    <w:p w:rsidR="00AF3424" w:rsidRPr="00AB7EAD" w:rsidRDefault="00AF3424" w:rsidP="009B2132">
      <w:pPr>
        <w:spacing w:after="0"/>
        <w:ind w:firstLine="709"/>
        <w:rPr>
          <w:b/>
        </w:rPr>
      </w:pPr>
      <w:r w:rsidRPr="00AF3424">
        <w:rPr>
          <w:b/>
        </w:rPr>
        <w:t>1</w:t>
      </w:r>
      <w:r w:rsidR="00CD1185" w:rsidRPr="00AB7EAD">
        <w:rPr>
          <w:b/>
        </w:rPr>
        <w:t>.Общие сведения</w:t>
      </w:r>
    </w:p>
    <w:p w:rsidR="00CD1185" w:rsidRPr="00AF3424" w:rsidRDefault="00CD1185" w:rsidP="009B2132">
      <w:pPr>
        <w:spacing w:after="0"/>
        <w:ind w:firstLine="709"/>
        <w:rPr>
          <w:bCs/>
        </w:rPr>
      </w:pPr>
      <w:r w:rsidRPr="00AB7EAD">
        <w:rPr>
          <w:b/>
          <w:bCs/>
        </w:rPr>
        <w:t>1.1.</w:t>
      </w:r>
      <w:r w:rsidRPr="00AB7EAD">
        <w:rPr>
          <w:bCs/>
        </w:rPr>
        <w:t xml:space="preserve"> Работы </w:t>
      </w:r>
      <w:r w:rsidRPr="00AF3424">
        <w:rPr>
          <w:bCs/>
        </w:rPr>
        <w:t>по монтажу системы видеонаблюдения  в с.Яренск Ленского района в части реализации инициативных проектов в рамках регионального проекта «Комфортное Поморье»</w:t>
      </w:r>
      <w:r w:rsidRPr="00AB7EAD">
        <w:rPr>
          <w:bCs/>
        </w:rPr>
        <w:t>.</w:t>
      </w:r>
    </w:p>
    <w:p w:rsidR="00AF3424" w:rsidRPr="00AF3424" w:rsidRDefault="00AF3424" w:rsidP="009B2132">
      <w:pPr>
        <w:tabs>
          <w:tab w:val="left" w:pos="1134"/>
          <w:tab w:val="left" w:pos="1276"/>
        </w:tabs>
        <w:spacing w:after="0"/>
        <w:ind w:firstLine="709"/>
        <w:rPr>
          <w:b/>
          <w:bCs/>
        </w:rPr>
      </w:pPr>
      <w:r w:rsidRPr="00AF3424">
        <w:rPr>
          <w:b/>
          <w:bCs/>
        </w:rPr>
        <w:t>2.</w:t>
      </w:r>
      <w:r w:rsidR="009B2132">
        <w:rPr>
          <w:b/>
          <w:bCs/>
        </w:rPr>
        <w:t xml:space="preserve"> </w:t>
      </w:r>
      <w:r w:rsidRPr="00AF3424">
        <w:rPr>
          <w:b/>
          <w:bCs/>
        </w:rPr>
        <w:t>Основания для выполнения работ</w:t>
      </w:r>
    </w:p>
    <w:p w:rsidR="00AF3424" w:rsidRPr="00AF3424" w:rsidRDefault="00AF3424" w:rsidP="009B2132">
      <w:pPr>
        <w:autoSpaceDE w:val="0"/>
        <w:autoSpaceDN w:val="0"/>
        <w:adjustRightInd w:val="0"/>
        <w:spacing w:after="0"/>
        <w:ind w:firstLine="709"/>
        <w:rPr>
          <w:rFonts w:eastAsiaTheme="minorHAnsi"/>
          <w:iCs/>
          <w:lang w:eastAsia="en-US"/>
        </w:rPr>
      </w:pPr>
      <w:r w:rsidRPr="00AF3424">
        <w:rPr>
          <w:b/>
        </w:rPr>
        <w:t>2.1.</w:t>
      </w:r>
      <w:r w:rsidR="009B2132">
        <w:t xml:space="preserve"> Локально-</w:t>
      </w:r>
      <w:r w:rsidRPr="00AF3424">
        <w:t>сметный расчет по монтажу системы видеонаблюдения в с.Яренск Ленского района Архангельской области.</w:t>
      </w:r>
    </w:p>
    <w:p w:rsidR="00AF3424" w:rsidRPr="00AF3424" w:rsidRDefault="00AF3424" w:rsidP="009B2132">
      <w:pPr>
        <w:tabs>
          <w:tab w:val="left" w:pos="0"/>
          <w:tab w:val="left" w:pos="1134"/>
          <w:tab w:val="left" w:pos="1276"/>
        </w:tabs>
        <w:spacing w:after="0"/>
        <w:ind w:firstLine="709"/>
        <w:outlineLvl w:val="0"/>
      </w:pPr>
      <w:r w:rsidRPr="00AF3424">
        <w:rPr>
          <w:b/>
        </w:rPr>
        <w:t>2.2.</w:t>
      </w:r>
      <w:r w:rsidRPr="00AF3424">
        <w:t xml:space="preserve"> Государственная программа Архангельской области «Совершенствование государственного управления и местного самоуправления, развитие институтов гражданского общества в Архангельской области, утвержденная постановлением Правительства Архангельской области от</w:t>
      </w:r>
      <w:r w:rsidR="009B2132">
        <w:t xml:space="preserve"> 10.10.2019 № 548-пп, </w:t>
      </w:r>
      <w:r w:rsidRPr="00AF3424">
        <w:t xml:space="preserve">Положение о порядке рассмотрения инициативных проектов, выдвигаемых для получения финансовой поддержки из областного бюджета в рамках регионального проекта «Комфортное поморье», утвержденное постановлением администрации МО «Ленский муниципальный район» от 10.10.2019 года № 548-пп, муниципальная программа </w:t>
      </w:r>
      <w:bookmarkStart w:id="1" w:name="_Hlk154060507"/>
      <w:r w:rsidRPr="00AF3424">
        <w:t>«Развитие местного самоуправления в МО «Ленский муниципальный район» и поддержка социально ориентированных некоммерческих организаций»</w:t>
      </w:r>
      <w:bookmarkEnd w:id="1"/>
      <w:r w:rsidRPr="00AF3424">
        <w:t xml:space="preserve">, утвержденная постановлением </w:t>
      </w:r>
      <w:r w:rsidR="009B2132">
        <w:t>А</w:t>
      </w:r>
      <w:r w:rsidRPr="00AF3424">
        <w:t>дминистрации МО «Ленский муниципальный район» от 16.10.2019 № 634-н ( в редакции  № 975-н от 27 декабря 2023 года).</w:t>
      </w:r>
    </w:p>
    <w:p w:rsidR="00AF3424" w:rsidRPr="00AF3424" w:rsidRDefault="00AF3424" w:rsidP="009B2132">
      <w:pPr>
        <w:tabs>
          <w:tab w:val="left" w:pos="1134"/>
          <w:tab w:val="left" w:pos="1276"/>
        </w:tabs>
        <w:spacing w:after="0"/>
        <w:ind w:firstLine="709"/>
        <w:rPr>
          <w:b/>
          <w:bCs/>
        </w:rPr>
      </w:pPr>
      <w:r w:rsidRPr="00AF3424">
        <w:rPr>
          <w:b/>
        </w:rPr>
        <w:t>3.</w:t>
      </w:r>
      <w:r w:rsidRPr="00AF3424">
        <w:rPr>
          <w:b/>
          <w:bCs/>
        </w:rPr>
        <w:t xml:space="preserve"> Описание объекта закупки на поставку/основные характеристики объекта</w:t>
      </w:r>
    </w:p>
    <w:p w:rsidR="00AF3424" w:rsidRPr="00AF3424" w:rsidRDefault="00AF3424" w:rsidP="009B2132">
      <w:pPr>
        <w:tabs>
          <w:tab w:val="left" w:pos="1134"/>
          <w:tab w:val="left" w:pos="1276"/>
        </w:tabs>
        <w:spacing w:after="0"/>
        <w:ind w:firstLine="567"/>
        <w:jc w:val="right"/>
      </w:pPr>
      <w:r w:rsidRPr="00AF3424">
        <w:t>Таблица № 1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6400"/>
        <w:gridCol w:w="1119"/>
        <w:gridCol w:w="1383"/>
      </w:tblGrid>
      <w:tr w:rsidR="00AF3424" w:rsidRPr="00AF3424" w:rsidTr="003F3598">
        <w:trPr>
          <w:trHeight w:val="299"/>
        </w:trPr>
        <w:tc>
          <w:tcPr>
            <w:tcW w:w="669" w:type="dxa"/>
            <w:noWrap/>
            <w:vAlign w:val="center"/>
          </w:tcPr>
          <w:p w:rsidR="00AF3424" w:rsidRPr="00AF3424" w:rsidRDefault="00AF3424" w:rsidP="009B2132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AF3424">
              <w:rPr>
                <w:b/>
                <w:bCs/>
                <w:color w:val="000000"/>
              </w:rPr>
              <w:t>№</w:t>
            </w:r>
          </w:p>
        </w:tc>
        <w:tc>
          <w:tcPr>
            <w:tcW w:w="6400" w:type="dxa"/>
            <w:noWrap/>
            <w:vAlign w:val="center"/>
          </w:tcPr>
          <w:p w:rsidR="00AF3424" w:rsidRPr="00AF3424" w:rsidRDefault="00AF3424" w:rsidP="009B2132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AF3424">
              <w:rPr>
                <w:b/>
                <w:bCs/>
                <w:color w:val="000000"/>
              </w:rPr>
              <w:t>Наименование  работ</w:t>
            </w:r>
          </w:p>
        </w:tc>
        <w:tc>
          <w:tcPr>
            <w:tcW w:w="1119" w:type="dxa"/>
            <w:noWrap/>
            <w:vAlign w:val="center"/>
          </w:tcPr>
          <w:p w:rsidR="00AF3424" w:rsidRPr="00AF3424" w:rsidRDefault="00AF3424" w:rsidP="009B2132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AF3424">
              <w:rPr>
                <w:b/>
                <w:bCs/>
                <w:color w:val="000000"/>
              </w:rPr>
              <w:t>Объем</w:t>
            </w:r>
          </w:p>
        </w:tc>
        <w:tc>
          <w:tcPr>
            <w:tcW w:w="1383" w:type="dxa"/>
            <w:noWrap/>
            <w:vAlign w:val="center"/>
          </w:tcPr>
          <w:p w:rsidR="00AF3424" w:rsidRPr="00AF3424" w:rsidRDefault="00AF3424" w:rsidP="009B2132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AF3424">
              <w:rPr>
                <w:b/>
                <w:bCs/>
                <w:color w:val="000000"/>
              </w:rPr>
              <w:t>Ед. изм</w:t>
            </w:r>
          </w:p>
        </w:tc>
      </w:tr>
      <w:tr w:rsidR="00AF3424" w:rsidRPr="00AF3424" w:rsidTr="003F3598">
        <w:trPr>
          <w:trHeight w:val="231"/>
        </w:trPr>
        <w:tc>
          <w:tcPr>
            <w:tcW w:w="669" w:type="dxa"/>
            <w:noWrap/>
          </w:tcPr>
          <w:p w:rsidR="00AF3424" w:rsidRPr="00AF3424" w:rsidRDefault="00AF3424" w:rsidP="009B2132">
            <w:pPr>
              <w:numPr>
                <w:ilvl w:val="0"/>
                <w:numId w:val="22"/>
              </w:numPr>
              <w:spacing w:after="0"/>
              <w:ind w:left="0" w:firstLine="0"/>
              <w:jc w:val="center"/>
            </w:pPr>
          </w:p>
        </w:tc>
        <w:tc>
          <w:tcPr>
            <w:tcW w:w="6400" w:type="dxa"/>
            <w:tcBorders>
              <w:left w:val="nil"/>
            </w:tcBorders>
          </w:tcPr>
          <w:p w:rsidR="00AF3424" w:rsidRPr="00AF3424" w:rsidRDefault="00AF3424" w:rsidP="009B2132">
            <w:pPr>
              <w:spacing w:after="0"/>
              <w:jc w:val="left"/>
            </w:pPr>
            <w:r w:rsidRPr="00AF3424">
              <w:t>Устройство цифровой регистрации</w:t>
            </w:r>
          </w:p>
        </w:tc>
        <w:tc>
          <w:tcPr>
            <w:tcW w:w="1119" w:type="dxa"/>
            <w:noWrap/>
          </w:tcPr>
          <w:p w:rsidR="00AF3424" w:rsidRPr="00AF3424" w:rsidRDefault="00AF3424" w:rsidP="009B2132">
            <w:pPr>
              <w:shd w:val="clear" w:color="auto" w:fill="FFFFFF"/>
              <w:spacing w:after="0"/>
              <w:jc w:val="center"/>
              <w:textAlignment w:val="baseline"/>
            </w:pPr>
            <w:r w:rsidRPr="00AF3424">
              <w:t>2</w:t>
            </w:r>
          </w:p>
        </w:tc>
        <w:tc>
          <w:tcPr>
            <w:tcW w:w="1383" w:type="dxa"/>
            <w:noWrap/>
          </w:tcPr>
          <w:p w:rsidR="00AF3424" w:rsidRPr="00AF3424" w:rsidRDefault="00AF3424" w:rsidP="009B2132">
            <w:pPr>
              <w:spacing w:after="0"/>
              <w:jc w:val="center"/>
              <w:rPr>
                <w:vertAlign w:val="superscript"/>
              </w:rPr>
            </w:pPr>
            <w:r w:rsidRPr="00AF3424">
              <w:t>устройство</w:t>
            </w:r>
          </w:p>
        </w:tc>
      </w:tr>
      <w:tr w:rsidR="00AF3424" w:rsidRPr="00AF3424" w:rsidTr="003F3598">
        <w:trPr>
          <w:trHeight w:val="231"/>
        </w:trPr>
        <w:tc>
          <w:tcPr>
            <w:tcW w:w="669" w:type="dxa"/>
            <w:noWrap/>
          </w:tcPr>
          <w:p w:rsidR="00AF3424" w:rsidRPr="00AF3424" w:rsidRDefault="00AF3424" w:rsidP="009B2132">
            <w:pPr>
              <w:numPr>
                <w:ilvl w:val="0"/>
                <w:numId w:val="22"/>
              </w:numPr>
              <w:spacing w:after="0"/>
              <w:ind w:left="0" w:firstLine="0"/>
              <w:jc w:val="center"/>
            </w:pPr>
          </w:p>
        </w:tc>
        <w:tc>
          <w:tcPr>
            <w:tcW w:w="6400" w:type="dxa"/>
            <w:tcBorders>
              <w:left w:val="nil"/>
            </w:tcBorders>
          </w:tcPr>
          <w:p w:rsidR="00AF3424" w:rsidRPr="00AF3424" w:rsidRDefault="00AF3424" w:rsidP="009B2132">
            <w:pPr>
              <w:spacing w:after="0"/>
              <w:jc w:val="left"/>
            </w:pPr>
            <w:r w:rsidRPr="00AF3424">
              <w:t>Разработка грунта вручную в траншеях глубиной до 2 м</w:t>
            </w:r>
          </w:p>
        </w:tc>
        <w:tc>
          <w:tcPr>
            <w:tcW w:w="1119" w:type="dxa"/>
            <w:noWrap/>
          </w:tcPr>
          <w:p w:rsidR="00AF3424" w:rsidRPr="00AF3424" w:rsidRDefault="00AF3424" w:rsidP="009B2132">
            <w:pPr>
              <w:shd w:val="clear" w:color="auto" w:fill="FFFFFF"/>
              <w:spacing w:after="0"/>
              <w:jc w:val="center"/>
              <w:textAlignment w:val="baseline"/>
            </w:pPr>
            <w:r w:rsidRPr="00AF3424">
              <w:t>6,3</w:t>
            </w:r>
          </w:p>
        </w:tc>
        <w:tc>
          <w:tcPr>
            <w:tcW w:w="1383" w:type="dxa"/>
            <w:noWrap/>
          </w:tcPr>
          <w:p w:rsidR="00AF3424" w:rsidRPr="00AF3424" w:rsidRDefault="00AF3424" w:rsidP="009B2132">
            <w:pPr>
              <w:spacing w:after="0"/>
              <w:jc w:val="center"/>
            </w:pPr>
            <w:r w:rsidRPr="00AF3424">
              <w:t>м</w:t>
            </w:r>
            <w:r w:rsidRPr="00AF3424">
              <w:rPr>
                <w:vertAlign w:val="superscript"/>
              </w:rPr>
              <w:t>3</w:t>
            </w:r>
          </w:p>
        </w:tc>
      </w:tr>
      <w:tr w:rsidR="00AF3424" w:rsidRPr="00AF3424" w:rsidTr="003F3598">
        <w:trPr>
          <w:trHeight w:val="231"/>
        </w:trPr>
        <w:tc>
          <w:tcPr>
            <w:tcW w:w="669" w:type="dxa"/>
            <w:noWrap/>
          </w:tcPr>
          <w:p w:rsidR="00AF3424" w:rsidRPr="00AF3424" w:rsidRDefault="00AF3424" w:rsidP="009B2132">
            <w:pPr>
              <w:numPr>
                <w:ilvl w:val="0"/>
                <w:numId w:val="22"/>
              </w:numPr>
              <w:spacing w:after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400" w:type="dxa"/>
            <w:tcBorders>
              <w:left w:val="nil"/>
            </w:tcBorders>
          </w:tcPr>
          <w:p w:rsidR="00AF3424" w:rsidRPr="00AF3424" w:rsidRDefault="00AF3424" w:rsidP="009B2132">
            <w:pPr>
              <w:spacing w:after="0"/>
              <w:jc w:val="left"/>
            </w:pPr>
            <w:r w:rsidRPr="00AF3424">
              <w:t>Засыпка вручную траншей</w:t>
            </w:r>
          </w:p>
        </w:tc>
        <w:tc>
          <w:tcPr>
            <w:tcW w:w="1119" w:type="dxa"/>
            <w:noWrap/>
          </w:tcPr>
          <w:p w:rsidR="00AF3424" w:rsidRPr="00AF3424" w:rsidRDefault="00AF3424" w:rsidP="009B2132">
            <w:pPr>
              <w:shd w:val="clear" w:color="auto" w:fill="FFFFFF"/>
              <w:spacing w:after="0"/>
              <w:jc w:val="center"/>
            </w:pPr>
            <w:r w:rsidRPr="00AF3424">
              <w:t>6,3</w:t>
            </w:r>
          </w:p>
        </w:tc>
        <w:tc>
          <w:tcPr>
            <w:tcW w:w="1383" w:type="dxa"/>
            <w:noWrap/>
          </w:tcPr>
          <w:p w:rsidR="00AF3424" w:rsidRPr="00AF3424" w:rsidRDefault="00AF3424" w:rsidP="009B2132">
            <w:pPr>
              <w:tabs>
                <w:tab w:val="left" w:pos="274"/>
                <w:tab w:val="center" w:pos="405"/>
              </w:tabs>
              <w:spacing w:after="0"/>
              <w:jc w:val="center"/>
              <w:rPr>
                <w:color w:val="000000"/>
              </w:rPr>
            </w:pPr>
            <w:r w:rsidRPr="00AF3424">
              <w:t>м</w:t>
            </w:r>
            <w:r w:rsidRPr="00AF3424">
              <w:rPr>
                <w:vertAlign w:val="superscript"/>
              </w:rPr>
              <w:t>3</w:t>
            </w:r>
          </w:p>
        </w:tc>
      </w:tr>
      <w:tr w:rsidR="00AF3424" w:rsidRPr="00AF3424" w:rsidTr="003F3598">
        <w:trPr>
          <w:trHeight w:val="231"/>
        </w:trPr>
        <w:tc>
          <w:tcPr>
            <w:tcW w:w="669" w:type="dxa"/>
            <w:noWrap/>
          </w:tcPr>
          <w:p w:rsidR="00AF3424" w:rsidRPr="00AF3424" w:rsidRDefault="00AF3424" w:rsidP="009B2132">
            <w:pPr>
              <w:numPr>
                <w:ilvl w:val="0"/>
                <w:numId w:val="22"/>
              </w:numPr>
              <w:spacing w:after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400" w:type="dxa"/>
            <w:tcBorders>
              <w:left w:val="nil"/>
            </w:tcBorders>
          </w:tcPr>
          <w:p w:rsidR="00AF3424" w:rsidRPr="00AF3424" w:rsidRDefault="00AF3424" w:rsidP="009B2132">
            <w:pPr>
              <w:spacing w:after="0"/>
              <w:jc w:val="left"/>
            </w:pPr>
            <w:r w:rsidRPr="00AF3424">
              <w:t>Устройство постели при одном кабеле в траншее</w:t>
            </w:r>
          </w:p>
        </w:tc>
        <w:tc>
          <w:tcPr>
            <w:tcW w:w="1119" w:type="dxa"/>
            <w:noWrap/>
          </w:tcPr>
          <w:p w:rsidR="00AF3424" w:rsidRPr="00AF3424" w:rsidRDefault="00AF3424" w:rsidP="009B2132">
            <w:pPr>
              <w:shd w:val="clear" w:color="auto" w:fill="FFFFFF"/>
              <w:spacing w:after="0"/>
              <w:jc w:val="center"/>
            </w:pPr>
            <w:r w:rsidRPr="00AF3424">
              <w:t>1800</w:t>
            </w:r>
          </w:p>
        </w:tc>
        <w:tc>
          <w:tcPr>
            <w:tcW w:w="1383" w:type="dxa"/>
            <w:noWrap/>
          </w:tcPr>
          <w:p w:rsidR="00AF3424" w:rsidRPr="00AF3424" w:rsidRDefault="00AF3424" w:rsidP="009B2132">
            <w:pPr>
              <w:spacing w:after="0"/>
              <w:jc w:val="center"/>
              <w:rPr>
                <w:color w:val="000000"/>
              </w:rPr>
            </w:pPr>
            <w:r w:rsidRPr="00AF3424">
              <w:t>м</w:t>
            </w:r>
          </w:p>
        </w:tc>
      </w:tr>
      <w:tr w:rsidR="00AF3424" w:rsidRPr="00AF3424" w:rsidTr="003F3598">
        <w:trPr>
          <w:trHeight w:val="231"/>
        </w:trPr>
        <w:tc>
          <w:tcPr>
            <w:tcW w:w="669" w:type="dxa"/>
            <w:noWrap/>
          </w:tcPr>
          <w:p w:rsidR="00AF3424" w:rsidRPr="00AF3424" w:rsidRDefault="00AF3424" w:rsidP="009B2132">
            <w:pPr>
              <w:numPr>
                <w:ilvl w:val="0"/>
                <w:numId w:val="22"/>
              </w:numPr>
              <w:spacing w:after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400" w:type="dxa"/>
            <w:tcBorders>
              <w:left w:val="nil"/>
            </w:tcBorders>
          </w:tcPr>
          <w:p w:rsidR="00AF3424" w:rsidRPr="00AF3424" w:rsidRDefault="00AF3424" w:rsidP="009B2132">
            <w:pPr>
              <w:spacing w:after="0"/>
              <w:jc w:val="left"/>
              <w:rPr>
                <w:color w:val="000000"/>
              </w:rPr>
            </w:pPr>
            <w:r w:rsidRPr="00AF3424">
              <w:rPr>
                <w:color w:val="000000"/>
              </w:rPr>
              <w:t>Песок природный для строительных работ: средний с крупностью зерен размером свыше 5 мм до 5% по массе</w:t>
            </w:r>
          </w:p>
        </w:tc>
        <w:tc>
          <w:tcPr>
            <w:tcW w:w="1119" w:type="dxa"/>
            <w:noWrap/>
          </w:tcPr>
          <w:p w:rsidR="00AF3424" w:rsidRPr="00AF3424" w:rsidRDefault="00AF3424" w:rsidP="009B2132">
            <w:pPr>
              <w:shd w:val="clear" w:color="auto" w:fill="FFFFFF"/>
              <w:spacing w:after="0"/>
              <w:jc w:val="center"/>
              <w:textAlignment w:val="baseline"/>
              <w:rPr>
                <w:color w:val="21201F"/>
                <w:bdr w:val="none" w:sz="0" w:space="0" w:color="auto" w:frame="1"/>
                <w:shd w:val="clear" w:color="auto" w:fill="FFFFFF"/>
              </w:rPr>
            </w:pPr>
            <w:r w:rsidRPr="00AF3424">
              <w:t>5</w:t>
            </w:r>
          </w:p>
        </w:tc>
        <w:tc>
          <w:tcPr>
            <w:tcW w:w="1383" w:type="dxa"/>
            <w:noWrap/>
          </w:tcPr>
          <w:p w:rsidR="00AF3424" w:rsidRPr="00AF3424" w:rsidRDefault="00AF3424" w:rsidP="009B2132">
            <w:pPr>
              <w:spacing w:after="0"/>
              <w:jc w:val="center"/>
              <w:rPr>
                <w:color w:val="000000"/>
              </w:rPr>
            </w:pPr>
            <w:r w:rsidRPr="00AF3424">
              <w:t>м</w:t>
            </w:r>
            <w:r w:rsidRPr="00AF3424">
              <w:rPr>
                <w:vertAlign w:val="superscript"/>
              </w:rPr>
              <w:t>3</w:t>
            </w:r>
          </w:p>
        </w:tc>
      </w:tr>
      <w:tr w:rsidR="00AF3424" w:rsidRPr="00AF3424" w:rsidTr="003F3598">
        <w:trPr>
          <w:trHeight w:val="231"/>
        </w:trPr>
        <w:tc>
          <w:tcPr>
            <w:tcW w:w="669" w:type="dxa"/>
            <w:noWrap/>
          </w:tcPr>
          <w:p w:rsidR="00AF3424" w:rsidRPr="00AF3424" w:rsidRDefault="00AF3424" w:rsidP="009B2132">
            <w:pPr>
              <w:numPr>
                <w:ilvl w:val="0"/>
                <w:numId w:val="22"/>
              </w:numPr>
              <w:spacing w:after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6400" w:type="dxa"/>
            <w:tcBorders>
              <w:left w:val="nil"/>
            </w:tcBorders>
          </w:tcPr>
          <w:p w:rsidR="00AF3424" w:rsidRPr="00AF3424" w:rsidRDefault="00AF3424" w:rsidP="009B2132">
            <w:pPr>
              <w:spacing w:after="0"/>
              <w:jc w:val="left"/>
              <w:rPr>
                <w:color w:val="000000"/>
              </w:rPr>
            </w:pPr>
            <w:r w:rsidRPr="00AF3424">
              <w:rPr>
                <w:color w:val="000000"/>
              </w:rPr>
              <w:t>Прокладка труб гофрированных ПВХ в земле для защиты одного кабеля диаметром 50мм</w:t>
            </w:r>
          </w:p>
        </w:tc>
        <w:tc>
          <w:tcPr>
            <w:tcW w:w="1119" w:type="dxa"/>
            <w:noWrap/>
          </w:tcPr>
          <w:p w:rsidR="00AF3424" w:rsidRPr="00AF3424" w:rsidRDefault="00AF3424" w:rsidP="009B2132">
            <w:pPr>
              <w:shd w:val="clear" w:color="auto" w:fill="FFFFFF"/>
              <w:spacing w:after="0"/>
              <w:jc w:val="center"/>
              <w:textAlignment w:val="baseline"/>
              <w:rPr>
                <w:color w:val="303030"/>
              </w:rPr>
            </w:pPr>
            <w:r w:rsidRPr="00AF3424">
              <w:rPr>
                <w:color w:val="303030"/>
              </w:rPr>
              <w:t>1800</w:t>
            </w:r>
          </w:p>
        </w:tc>
        <w:tc>
          <w:tcPr>
            <w:tcW w:w="1383" w:type="dxa"/>
            <w:noWrap/>
          </w:tcPr>
          <w:p w:rsidR="00AF3424" w:rsidRPr="00AF3424" w:rsidRDefault="00AF3424" w:rsidP="009B2132">
            <w:pPr>
              <w:spacing w:after="0"/>
              <w:jc w:val="center"/>
              <w:rPr>
                <w:color w:val="000000"/>
              </w:rPr>
            </w:pPr>
            <w:r w:rsidRPr="00AF3424">
              <w:t>м</w:t>
            </w:r>
          </w:p>
        </w:tc>
      </w:tr>
    </w:tbl>
    <w:p w:rsidR="00AF3424" w:rsidRPr="00AF3424" w:rsidRDefault="00AF3424" w:rsidP="009B2132">
      <w:pPr>
        <w:tabs>
          <w:tab w:val="left" w:pos="426"/>
        </w:tabs>
        <w:autoSpaceDE w:val="0"/>
        <w:autoSpaceDN w:val="0"/>
        <w:spacing w:after="0"/>
        <w:ind w:firstLine="709"/>
      </w:pPr>
      <w:r w:rsidRPr="00AF3424">
        <w:rPr>
          <w:b/>
          <w:bCs/>
        </w:rPr>
        <w:t>4</w:t>
      </w:r>
      <w:r w:rsidRPr="00AF3424">
        <w:t>.</w:t>
      </w:r>
      <w:r w:rsidRPr="00AF3424">
        <w:tab/>
      </w:r>
      <w:r w:rsidRPr="00AF3424">
        <w:rPr>
          <w:b/>
          <w:bCs/>
        </w:rPr>
        <w:t>Требования к объему выполняемых работ</w:t>
      </w:r>
      <w:r w:rsidRPr="00AF3424">
        <w:t>:</w:t>
      </w:r>
    </w:p>
    <w:p w:rsidR="00AF3424" w:rsidRPr="00AF3424" w:rsidRDefault="00AF3424" w:rsidP="009B2132">
      <w:pPr>
        <w:autoSpaceDE w:val="0"/>
        <w:autoSpaceDN w:val="0"/>
        <w:spacing w:after="0"/>
        <w:ind w:firstLine="709"/>
        <w:rPr>
          <w:b/>
          <w:bCs/>
        </w:rPr>
      </w:pPr>
      <w:r w:rsidRPr="00AF3424">
        <w:t>Выполнение работ в полном объеме в соответствии с документацией (локальный сметный расчет).</w:t>
      </w:r>
    </w:p>
    <w:p w:rsidR="00AF3424" w:rsidRPr="00AF3424" w:rsidRDefault="00AF3424" w:rsidP="009B2132">
      <w:pPr>
        <w:spacing w:after="0"/>
        <w:ind w:firstLine="709"/>
        <w:rPr>
          <w:b/>
        </w:rPr>
      </w:pPr>
      <w:r w:rsidRPr="00AF3424">
        <w:rPr>
          <w:b/>
        </w:rPr>
        <w:t>5. Требования к установке системы видеонаблюдения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  <w:b/>
        </w:rPr>
      </w:pPr>
      <w:r w:rsidRPr="00AF3424">
        <w:rPr>
          <w:rFonts w:eastAsia="Calibri"/>
        </w:rPr>
        <w:t>5.1.</w:t>
      </w:r>
      <w:r w:rsidRPr="00AF3424">
        <w:rPr>
          <w:rFonts w:eastAsia="Calibri"/>
        </w:rPr>
        <w:tab/>
      </w:r>
      <w:r w:rsidRPr="00AF3424">
        <w:rPr>
          <w:rFonts w:eastAsia="Calibri"/>
          <w:b/>
        </w:rPr>
        <w:t>Место установки системы видеонаблюдения: парк имени Землячки с. Яренск Ленского района Архангельской области.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>Пост видеонаблюдения установить по адресу с. Яр</w:t>
      </w:r>
      <w:r w:rsidR="009B2132">
        <w:rPr>
          <w:rFonts w:eastAsia="Calibri"/>
        </w:rPr>
        <w:t xml:space="preserve">енск, ул. Володи Дубинина, 4А </w:t>
      </w:r>
      <w:r w:rsidR="009B2132">
        <w:rPr>
          <w:rFonts w:eastAsia="Calibri"/>
        </w:rPr>
        <w:br/>
        <w:t>(</w:t>
      </w:r>
      <w:r w:rsidRPr="00AF3424">
        <w:rPr>
          <w:rFonts w:eastAsia="Calibri"/>
        </w:rPr>
        <w:t>со стороны парка имени Землячки).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>5.2 Общие требования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>5.2.1. Установка устанавливаемого оборудования, проводится в соответствии с инструкциями производителей оборудования.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5.2.2 Дополнительные требования: Подрядчик за свой счет без дополнительных затрат Заказчика обеспечивает: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 доставку материалов на место выполнения работ;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 уборку, вывоз и утилизацию упаковочной тары и образовавшегося мусора с места проведения работ, по завершении установки и пусконаладочных работ.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lastRenderedPageBreak/>
        <w:t>5.2.3. Подрядчик обязан выполнять все виды работ без дополнительных затрат со стороны Заказчика, включая расходы на использование инструментов, снаряжения, аренду специализированной техники, привлечение дополнительной рабочей силы и прочее.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5.2.4. К установке системы видеонаблюдения Подрядчик приступает только после согласования с Заказчиком технических решений, предоставленных Подрядчиком по итогу выполнения работ по обследованию объектов.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5.2.5. Требования к безопасности: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 в процессе выполнения работ должны быть соблюдены нормы и правила, принятые на территории Российской Федерации;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 применяемые материалы и оборудование должны обеспечивать требования нормативно-технических документов по пожаростойкости и пожаробезопасности;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>- устанавливаемое оборудование и сети системы должны быть безопасны при эксплуатации для лиц, соблюдающих правила обращения с ними;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>устройства, устанавливаемые на территории объекта, должны быть безвредны для здоровья лиц, имеющих доступ на территорию объекта;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>- устанавливаемое оборудование должно отвечать требованиям по электробезопасности по ГОСТ, СанПиН, что будет подтверждаться сертификатами качества, техническими паспортами или другими документами, оформленными в соответствии с Российским законодательством.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5.2.6. Работы по подключению выполняются в строгом соответствии с нормами на эти виды работ и действующими инструкциями производителя оборудования, а также в соответствии с согласованными планами размещения оборудования, трасс прокладки кабелей.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5.2.7. Заказчик определяет точки подключения и производит подключение камер к электропитанию,  согласует с хозяйствующими субъектами.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5.2.8. Установка системы видеонаблюдения производится в соответствии с требованиями правил техники безопасности и охраны труда. Ответственность за соблюдение правил техники безопасности и охраны труда при производстве работ несёт Подрядчик.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5.2.9. Подрядчик обязан привлекать к работам с электротехническим оборудованием только лиц, имеющих уровень допуска электробезопасности не ниже 3-го (до 1000 В).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5.2.10. Заказчик обеспечивает согласование проведения работ с пользователями и владельцами помещений по извещению Подрядчика о начале проведения работ.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При необходимости работ на инфраструктуре энергетических хозяйств допуски и разрешения Подрядчик получает самостоятельно.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5.2.11. Требования к получению ТУ, разрешительных документов: мероприятия по получению Технических условий, согласований на трассу прокладки кабелей, размещение оборудований проводятся Подрядчиком.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>5.2.12. Стоимость кабельной продукции и других расходных материалов, необходимых для максимального удовлетворения требований Заказчика, должна быть включена в стоимость выполняемых работ.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5.2.13. Требования к сертификации: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 Все материалы и комплектующие, поставляемые в рамках данного технического задания и подлежащие сертификации в Российской Федерации, должны быть сертифицированы.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 Для материалов и комплектующих, подлежащих обязательной сертификации и/или декларированию и/или санитарно-эпидемиологической экспертизе, Подрядчик должен представить документы о сертификации (оригиналы, либо надлежащим образом заверенные копии сертификатов или деклараций соответствия требованиям нормативных документов на поставляемые материалы и оборудование, разрешающих использование их на территории Российской Федерации).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5.2.14. Требования по условиям эксплуатации. Оборудование и аппаратура, устанавливаемые вне помещений (уличная установка) должны быть устойчивыми к внешним воздействиям по ГОСТ l5l50-69 (УХЛ l).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>5.2.15. Подрядчик оформляет необходимые согласования и получает разрешительные документы для установки системы видеонаблюдения в объемах, необходимых для полного сооружения и нормальной эксплуатации объектов/а, предусмотренном действующими нормативно-правовыми актами.</w:t>
      </w: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>5.3. Требование к составу работ по установке системы видеонаблюдения</w:t>
      </w:r>
    </w:p>
    <w:p w:rsidR="00AF3424" w:rsidRPr="00AF3424" w:rsidRDefault="00AF3424" w:rsidP="009B2132">
      <w:pPr>
        <w:spacing w:after="0"/>
        <w:ind w:firstLine="709"/>
      </w:pPr>
      <w:r w:rsidRPr="00AF3424">
        <w:rPr>
          <w:rFonts w:eastAsia="Calibri"/>
        </w:rPr>
        <w:lastRenderedPageBreak/>
        <w:t xml:space="preserve">5.3.1. </w:t>
      </w:r>
      <w:r w:rsidRPr="00AF3424">
        <w:t>Для корректной детекции в видеопотоке камеры должны быть установлены таким образом, чтобы в поле их зрения попадали лица всех людей, входящих на объект или находящихся в определенной зоне. Рис.1.</w:t>
      </w:r>
    </w:p>
    <w:p w:rsidR="00AF3424" w:rsidRPr="00AF3424" w:rsidRDefault="00AF3424" w:rsidP="009B2132">
      <w:pPr>
        <w:framePr w:wrap="none" w:vAnchor="page" w:hAnchor="page" w:x="3421" w:y="4273"/>
        <w:spacing w:after="0"/>
        <w:jc w:val="left"/>
      </w:pPr>
    </w:p>
    <w:p w:rsidR="00AF3424" w:rsidRPr="00AF3424" w:rsidRDefault="00AF3424" w:rsidP="009B2132">
      <w:pPr>
        <w:framePr w:wrap="none" w:vAnchor="page" w:hAnchor="page" w:x="3421" w:y="5713"/>
        <w:spacing w:after="0"/>
        <w:jc w:val="left"/>
      </w:pPr>
    </w:p>
    <w:p w:rsidR="00AF3424" w:rsidRPr="00AF3424" w:rsidRDefault="00AF3424" w:rsidP="009B2132">
      <w:pPr>
        <w:framePr w:wrap="none" w:vAnchor="page" w:hAnchor="page" w:x="3421" w:y="4273"/>
        <w:spacing w:after="0"/>
        <w:jc w:val="left"/>
      </w:pPr>
    </w:p>
    <w:p w:rsidR="00AF3424" w:rsidRPr="00AF3424" w:rsidRDefault="00AF3424" w:rsidP="009B2132">
      <w:pPr>
        <w:framePr w:wrap="none" w:vAnchor="page" w:hAnchor="page" w:x="3421" w:y="5713"/>
        <w:spacing w:after="0"/>
        <w:jc w:val="left"/>
        <w:rPr>
          <w:rFonts w:eastAsia="Arial Unicode MS"/>
          <w:color w:val="000000"/>
          <w:lang w:bidi="ru-RU"/>
        </w:rPr>
      </w:pPr>
    </w:p>
    <w:p w:rsidR="00AF3424" w:rsidRPr="00AF3424" w:rsidRDefault="00AF3424" w:rsidP="009B2132">
      <w:pPr>
        <w:spacing w:after="0"/>
        <w:rPr>
          <w:rFonts w:eastAsia="Calibri"/>
        </w:rPr>
      </w:pPr>
      <w:r w:rsidRPr="00AF3424">
        <w:rPr>
          <w:rFonts w:eastAsia="Calibri"/>
          <w:noProof/>
        </w:rPr>
        <w:drawing>
          <wp:inline distT="0" distB="0" distL="0" distR="0">
            <wp:extent cx="3363402" cy="1820848"/>
            <wp:effectExtent l="0" t="0" r="8890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18199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2132" w:rsidRDefault="00AF3424" w:rsidP="009B2132">
      <w:pPr>
        <w:autoSpaceDE w:val="0"/>
        <w:autoSpaceDN w:val="0"/>
        <w:adjustRightInd w:val="0"/>
        <w:spacing w:after="0"/>
        <w:ind w:firstLine="709"/>
        <w:rPr>
          <w:rFonts w:eastAsia="Roboto-Regular"/>
        </w:rPr>
      </w:pPr>
      <w:r w:rsidRPr="00AF3424">
        <w:rPr>
          <w:rFonts w:eastAsia="Calibri"/>
        </w:rPr>
        <w:t xml:space="preserve">5.3.2. </w:t>
      </w:r>
      <w:r w:rsidRPr="00AF3424">
        <w:rPr>
          <w:rFonts w:eastAsia="Roboto-Regular"/>
        </w:rPr>
        <w:t xml:space="preserve">Угол вертикального наклона видеокамеры не должен превышать 15° (отклонение оптической оси видеокамеры от горизонтальной плоскости, построенной на уровне середины лица человека среднего роста – 160 см). </w:t>
      </w:r>
    </w:p>
    <w:p w:rsidR="00AF3424" w:rsidRPr="00AF3424" w:rsidRDefault="00AF3424" w:rsidP="009B2132">
      <w:pPr>
        <w:autoSpaceDE w:val="0"/>
        <w:autoSpaceDN w:val="0"/>
        <w:adjustRightInd w:val="0"/>
        <w:spacing w:after="0"/>
        <w:rPr>
          <w:rFonts w:eastAsia="Roboto-Regular"/>
        </w:rPr>
      </w:pPr>
      <w:r w:rsidRPr="00AF3424">
        <w:rPr>
          <w:rFonts w:eastAsia="Roboto-Regular"/>
        </w:rPr>
        <w:t>Рис. 2</w:t>
      </w:r>
    </w:p>
    <w:p w:rsidR="00AF3424" w:rsidRPr="00AF3424" w:rsidRDefault="00AF3424" w:rsidP="009B2132">
      <w:pPr>
        <w:spacing w:after="0"/>
        <w:rPr>
          <w:rFonts w:eastAsia="Calibri"/>
        </w:rPr>
      </w:pPr>
      <w:r w:rsidRPr="00AF3424">
        <w:rPr>
          <w:rFonts w:eastAsia="Calibri"/>
          <w:noProof/>
        </w:rPr>
        <w:drawing>
          <wp:inline distT="0" distB="0" distL="0" distR="0">
            <wp:extent cx="6628765" cy="3114040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765" cy="311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3424" w:rsidRPr="00AF3424" w:rsidRDefault="00AF3424" w:rsidP="009B2132">
      <w:pPr>
        <w:autoSpaceDE w:val="0"/>
        <w:autoSpaceDN w:val="0"/>
        <w:adjustRightInd w:val="0"/>
        <w:spacing w:after="0"/>
        <w:ind w:firstLine="709"/>
        <w:rPr>
          <w:rFonts w:eastAsia="Roboto-Regular"/>
        </w:rPr>
      </w:pPr>
      <w:r w:rsidRPr="00AF3424">
        <w:rPr>
          <w:rFonts w:eastAsia="Calibri"/>
        </w:rPr>
        <w:t xml:space="preserve">5.3.3. </w:t>
      </w:r>
      <w:r w:rsidRPr="00AF3424">
        <w:rPr>
          <w:rFonts w:eastAsia="Roboto-Regular"/>
        </w:rPr>
        <w:t>Угол горизонтального отклонения не должен превышать 30° (отклонение оптической оси видеокамеры от вектора движения основного потока объектов распознавания). Рис. 3</w:t>
      </w:r>
    </w:p>
    <w:p w:rsidR="00AF3424" w:rsidRPr="00AF3424" w:rsidRDefault="00AF3424" w:rsidP="009B2132">
      <w:pPr>
        <w:framePr w:wrap="none" w:vAnchor="page" w:hAnchor="page" w:x="4184" w:y="5237"/>
        <w:spacing w:after="0"/>
        <w:jc w:val="left"/>
      </w:pPr>
    </w:p>
    <w:p w:rsidR="00AF3424" w:rsidRPr="00AF3424" w:rsidRDefault="00AF3424" w:rsidP="009B2132">
      <w:pPr>
        <w:autoSpaceDE w:val="0"/>
        <w:autoSpaceDN w:val="0"/>
        <w:adjustRightInd w:val="0"/>
        <w:spacing w:after="0"/>
        <w:rPr>
          <w:rFonts w:eastAsia="Calibri"/>
        </w:rPr>
      </w:pPr>
    </w:p>
    <w:p w:rsidR="00AF3424" w:rsidRPr="00AF3424" w:rsidRDefault="00AF3424" w:rsidP="009B2132">
      <w:pPr>
        <w:spacing w:after="0"/>
        <w:rPr>
          <w:rFonts w:eastAsia="Calibri"/>
        </w:rPr>
      </w:pPr>
      <w:r w:rsidRPr="00AF3424">
        <w:rPr>
          <w:noProof/>
        </w:rPr>
        <w:drawing>
          <wp:inline distT="0" distB="0" distL="0" distR="0">
            <wp:extent cx="2576195" cy="1637665"/>
            <wp:effectExtent l="0" t="0" r="0" b="635"/>
            <wp:docPr id="9" name="Рисунок 9" descr="C:\Users\user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9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424" w:rsidRPr="00AF3424" w:rsidRDefault="00AF3424" w:rsidP="009B2132">
      <w:pPr>
        <w:spacing w:after="0"/>
        <w:rPr>
          <w:rFonts w:eastAsia="Calibri"/>
        </w:rPr>
      </w:pPr>
    </w:p>
    <w:p w:rsidR="00AF3424" w:rsidRPr="00AF3424" w:rsidRDefault="00AF3424" w:rsidP="009B2132">
      <w:pPr>
        <w:spacing w:after="0"/>
        <w:ind w:firstLine="709"/>
        <w:rPr>
          <w:rFonts w:eastAsia="Calibri"/>
        </w:rPr>
      </w:pPr>
      <w:r w:rsidRPr="00AF3424">
        <w:rPr>
          <w:rFonts w:eastAsia="Calibri"/>
        </w:rPr>
        <w:t xml:space="preserve">Перед началом установки Подрядчик получает у Заказчика перечень сетевых настроек и производит настройку активного сетевого оборудования. </w:t>
      </w:r>
    </w:p>
    <w:p w:rsidR="00AF3424" w:rsidRPr="00AF3424" w:rsidRDefault="00AF3424" w:rsidP="009B2132">
      <w:pPr>
        <w:autoSpaceDE w:val="0"/>
        <w:autoSpaceDN w:val="0"/>
        <w:adjustRightInd w:val="0"/>
        <w:spacing w:after="0"/>
        <w:ind w:firstLine="709"/>
        <w:rPr>
          <w:rFonts w:eastAsia="Tahoma"/>
          <w:color w:val="000000"/>
          <w:lang w:bidi="ru-RU"/>
        </w:rPr>
      </w:pPr>
      <w:r w:rsidRPr="00AF3424">
        <w:rPr>
          <w:rFonts w:eastAsia="Calibri"/>
        </w:rPr>
        <w:t xml:space="preserve">5.3.4. </w:t>
      </w:r>
      <w:r w:rsidRPr="00AF3424">
        <w:rPr>
          <w:rFonts w:eastAsia="Tahoma"/>
          <w:color w:val="000000"/>
          <w:lang w:bidi="ru-RU"/>
        </w:rPr>
        <w:t xml:space="preserve">Экспозиция должна быть настроена таким образом, чтобы лица были резкими («в фокусе»), не смазанными и равномерно освещенными (не пересвеченные и не слишком темные). </w:t>
      </w:r>
    </w:p>
    <w:p w:rsidR="00AF3424" w:rsidRPr="00AF3424" w:rsidRDefault="00AF3424" w:rsidP="009B2132">
      <w:pPr>
        <w:autoSpaceDE w:val="0"/>
        <w:autoSpaceDN w:val="0"/>
        <w:adjustRightInd w:val="0"/>
        <w:spacing w:after="0"/>
        <w:rPr>
          <w:rFonts w:eastAsia="Tahoma"/>
          <w:color w:val="000000"/>
          <w:lang w:bidi="ru-RU"/>
        </w:rPr>
      </w:pPr>
      <w:r w:rsidRPr="00AF3424">
        <w:rPr>
          <w:rFonts w:eastAsia="Tahoma"/>
          <w:color w:val="000000"/>
          <w:lang w:bidi="ru-RU"/>
        </w:rPr>
        <w:t>Рис. 4</w:t>
      </w:r>
    </w:p>
    <w:p w:rsidR="00AF3424" w:rsidRPr="00AF3424" w:rsidRDefault="00AF3424" w:rsidP="009B2132">
      <w:pPr>
        <w:framePr w:wrap="none" w:vAnchor="page" w:hAnchor="page" w:x="993" w:y="4240"/>
        <w:spacing w:after="0"/>
        <w:jc w:val="left"/>
      </w:pPr>
    </w:p>
    <w:p w:rsidR="00AF3424" w:rsidRPr="00AF3424" w:rsidRDefault="00AF3424" w:rsidP="009B2132">
      <w:pPr>
        <w:autoSpaceDE w:val="0"/>
        <w:autoSpaceDN w:val="0"/>
        <w:adjustRightInd w:val="0"/>
        <w:spacing w:after="0"/>
        <w:rPr>
          <w:rFonts w:eastAsia="Roboto-Regular"/>
        </w:rPr>
      </w:pPr>
    </w:p>
    <w:p w:rsidR="00AF3424" w:rsidRPr="00AF3424" w:rsidRDefault="00AF3424" w:rsidP="009B2132">
      <w:pPr>
        <w:autoSpaceDE w:val="0"/>
        <w:autoSpaceDN w:val="0"/>
        <w:adjustRightInd w:val="0"/>
        <w:spacing w:after="0"/>
        <w:rPr>
          <w:rFonts w:eastAsia="Roboto-Regular"/>
        </w:rPr>
      </w:pPr>
      <w:r w:rsidRPr="00AF3424">
        <w:rPr>
          <w:noProof/>
        </w:rPr>
        <w:lastRenderedPageBreak/>
        <w:drawing>
          <wp:inline distT="0" distB="0" distL="0" distR="0">
            <wp:extent cx="2130950" cy="1184744"/>
            <wp:effectExtent l="0" t="0" r="3175" b="0"/>
            <wp:docPr id="14" name="Рисунок 14" descr="C:\Users\user\AppData\Local\Temp\FineReader12.00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user\AppData\Local\Temp\FineReader12.00\media\image9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11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424" w:rsidRPr="00AF3424" w:rsidRDefault="00AF3424" w:rsidP="009B2132">
      <w:pPr>
        <w:autoSpaceDE w:val="0"/>
        <w:autoSpaceDN w:val="0"/>
        <w:adjustRightInd w:val="0"/>
        <w:spacing w:after="0"/>
        <w:rPr>
          <w:rFonts w:eastAsia="Roboto-Regular"/>
        </w:rPr>
      </w:pPr>
    </w:p>
    <w:p w:rsidR="00AF3424" w:rsidRPr="00AF3424" w:rsidRDefault="00AF3424" w:rsidP="009B2132">
      <w:pPr>
        <w:spacing w:after="0"/>
        <w:ind w:firstLine="709"/>
        <w:rPr>
          <w:rFonts w:eastAsia="Tahoma"/>
          <w:color w:val="000000"/>
          <w:lang w:bidi="ru-RU"/>
        </w:rPr>
      </w:pPr>
      <w:r w:rsidRPr="00AF3424">
        <w:rPr>
          <w:rFonts w:eastAsia="Roboto-Regular"/>
        </w:rPr>
        <w:t xml:space="preserve">5.3.5. </w:t>
      </w:r>
      <w:r w:rsidRPr="00AF3424">
        <w:rPr>
          <w:rFonts w:eastAsia="Tahoma"/>
          <w:color w:val="000000"/>
          <w:lang w:bidi="ru-RU"/>
        </w:rPr>
        <w:t xml:space="preserve">В зависимости от условий освещения (яркая засветка, слишком яркое или, наоборот, тусклое освещение) рекомендуется использовать камеры с аппаратным </w:t>
      </w:r>
      <w:r w:rsidRPr="00AF3424">
        <w:rPr>
          <w:rFonts w:eastAsia="Tahoma"/>
          <w:color w:val="000000"/>
          <w:lang w:val="en-US" w:bidi="en-US"/>
        </w:rPr>
        <w:t>WDR</w:t>
      </w:r>
      <w:r w:rsidRPr="00AF3424">
        <w:rPr>
          <w:rFonts w:eastAsia="Tahoma"/>
          <w:color w:val="000000"/>
          <w:lang w:bidi="en-US"/>
        </w:rPr>
        <w:t xml:space="preserve"> (</w:t>
      </w:r>
      <w:r w:rsidRPr="00AF3424">
        <w:rPr>
          <w:rFonts w:eastAsia="Tahoma"/>
          <w:color w:val="000000"/>
          <w:lang w:val="en-US" w:bidi="en-US"/>
        </w:rPr>
        <w:t>Wide</w:t>
      </w:r>
      <w:r w:rsidRPr="00AF3424">
        <w:rPr>
          <w:rFonts w:eastAsia="Tahoma"/>
          <w:color w:val="000000"/>
          <w:lang w:bidi="en-US"/>
        </w:rPr>
        <w:t xml:space="preserve"> </w:t>
      </w:r>
      <w:r w:rsidRPr="00AF3424">
        <w:rPr>
          <w:rFonts w:eastAsia="Tahoma"/>
          <w:color w:val="000000"/>
          <w:lang w:val="en-US" w:bidi="en-US"/>
        </w:rPr>
        <w:t>Dynamic</w:t>
      </w:r>
      <w:r w:rsidRPr="00AF3424">
        <w:rPr>
          <w:rFonts w:eastAsia="Tahoma"/>
          <w:color w:val="000000"/>
          <w:lang w:bidi="en-US"/>
        </w:rPr>
        <w:t xml:space="preserve"> </w:t>
      </w:r>
      <w:r w:rsidRPr="00AF3424">
        <w:rPr>
          <w:rFonts w:eastAsia="Tahoma"/>
          <w:color w:val="000000"/>
          <w:lang w:val="en-US" w:bidi="en-US"/>
        </w:rPr>
        <w:t>Range</w:t>
      </w:r>
      <w:r w:rsidRPr="00AF3424">
        <w:rPr>
          <w:rFonts w:eastAsia="Tahoma"/>
          <w:color w:val="000000"/>
          <w:lang w:bidi="en-US"/>
        </w:rPr>
        <w:t xml:space="preserve">) </w:t>
      </w:r>
      <w:r w:rsidRPr="00AF3424">
        <w:rPr>
          <w:rFonts w:eastAsia="Tahoma"/>
          <w:color w:val="000000"/>
          <w:lang w:bidi="ru-RU"/>
        </w:rPr>
        <w:t xml:space="preserve">или другими технологиями, обеспечивающими компенсацию встречной засветки и/или слабой освещенности </w:t>
      </w:r>
      <w:r w:rsidRPr="00AF3424">
        <w:rPr>
          <w:rFonts w:eastAsia="Tahoma"/>
          <w:color w:val="000000"/>
          <w:lang w:bidi="en-US"/>
        </w:rPr>
        <w:t>(</w:t>
      </w:r>
      <w:r w:rsidRPr="00AF3424">
        <w:rPr>
          <w:rFonts w:eastAsia="Tahoma"/>
          <w:color w:val="000000"/>
          <w:lang w:val="en-US" w:bidi="en-US"/>
        </w:rPr>
        <w:t>BLC</w:t>
      </w:r>
      <w:r w:rsidRPr="00AF3424">
        <w:rPr>
          <w:rFonts w:eastAsia="Tahoma"/>
          <w:color w:val="000000"/>
          <w:lang w:bidi="en-US"/>
        </w:rPr>
        <w:t xml:space="preserve">, </w:t>
      </w:r>
      <w:r w:rsidRPr="00AF3424">
        <w:rPr>
          <w:rFonts w:eastAsia="Tahoma"/>
          <w:color w:val="000000"/>
          <w:lang w:val="en-US" w:bidi="en-US"/>
        </w:rPr>
        <w:t>HLC</w:t>
      </w:r>
      <w:r w:rsidRPr="00AF3424">
        <w:rPr>
          <w:rFonts w:eastAsia="Tahoma"/>
          <w:color w:val="000000"/>
          <w:lang w:bidi="en-US"/>
        </w:rPr>
        <w:t xml:space="preserve">, </w:t>
      </w:r>
      <w:r w:rsidRPr="00AF3424">
        <w:rPr>
          <w:rFonts w:eastAsia="Tahoma"/>
          <w:color w:val="000000"/>
          <w:lang w:val="en-US" w:bidi="en-US"/>
        </w:rPr>
        <w:t>DNR</w:t>
      </w:r>
      <w:r w:rsidRPr="00AF3424">
        <w:rPr>
          <w:rFonts w:eastAsia="Tahoma"/>
          <w:color w:val="000000"/>
          <w:lang w:bidi="en-US"/>
        </w:rPr>
        <w:t xml:space="preserve">, </w:t>
      </w:r>
      <w:r w:rsidRPr="00AF3424">
        <w:rPr>
          <w:rFonts w:eastAsia="Tahoma"/>
          <w:color w:val="000000"/>
          <w:lang w:bidi="ru-RU"/>
        </w:rPr>
        <w:t xml:space="preserve">высокая светочувствительность, </w:t>
      </w:r>
      <w:r w:rsidRPr="00AF3424">
        <w:rPr>
          <w:rFonts w:eastAsia="Tahoma"/>
          <w:color w:val="000000"/>
          <w:lang w:val="en-US" w:bidi="en-US"/>
        </w:rPr>
        <w:t>Smart</w:t>
      </w:r>
      <w:r w:rsidRPr="00AF3424">
        <w:rPr>
          <w:rFonts w:eastAsia="Tahoma"/>
          <w:color w:val="000000"/>
          <w:lang w:bidi="en-US"/>
        </w:rPr>
        <w:t xml:space="preserve"> </w:t>
      </w:r>
      <w:r w:rsidRPr="00AF3424">
        <w:rPr>
          <w:rFonts w:eastAsia="Tahoma"/>
          <w:color w:val="000000"/>
          <w:lang w:bidi="ru-RU"/>
        </w:rPr>
        <w:t xml:space="preserve">ИК-подсветка, </w:t>
      </w:r>
      <w:r w:rsidRPr="00AF3424">
        <w:rPr>
          <w:rFonts w:eastAsia="Tahoma"/>
          <w:color w:val="000000"/>
          <w:lang w:val="en-US" w:bidi="en-US"/>
        </w:rPr>
        <w:t>AGC</w:t>
      </w:r>
      <w:r w:rsidRPr="00AF3424">
        <w:rPr>
          <w:rFonts w:eastAsia="Tahoma"/>
          <w:color w:val="000000"/>
          <w:lang w:bidi="en-US"/>
        </w:rPr>
        <w:t xml:space="preserve"> </w:t>
      </w:r>
      <w:r w:rsidRPr="00AF3424">
        <w:rPr>
          <w:rFonts w:eastAsia="Tahoma"/>
          <w:color w:val="000000"/>
          <w:lang w:bidi="ru-RU"/>
        </w:rPr>
        <w:t xml:space="preserve">и т.п.). </w:t>
      </w:r>
    </w:p>
    <w:p w:rsidR="00AF3424" w:rsidRPr="00AF3424" w:rsidRDefault="00AF3424" w:rsidP="009B2132">
      <w:pPr>
        <w:spacing w:after="0"/>
        <w:rPr>
          <w:rFonts w:eastAsia="Tahoma"/>
          <w:color w:val="000000"/>
          <w:lang w:bidi="ru-RU"/>
        </w:rPr>
      </w:pPr>
      <w:r w:rsidRPr="00AF3424">
        <w:rPr>
          <w:rFonts w:eastAsia="Tahoma"/>
          <w:color w:val="000000"/>
          <w:lang w:bidi="ru-RU"/>
        </w:rPr>
        <w:t>Рис. 5</w:t>
      </w:r>
    </w:p>
    <w:p w:rsidR="00AF3424" w:rsidRPr="00AF3424" w:rsidRDefault="00AF3424" w:rsidP="009B2132">
      <w:pPr>
        <w:framePr w:wrap="none" w:vAnchor="page" w:hAnchor="page" w:x="978" w:y="9535"/>
        <w:spacing w:after="0"/>
        <w:jc w:val="left"/>
      </w:pPr>
    </w:p>
    <w:p w:rsidR="00AF3424" w:rsidRPr="00AF3424" w:rsidRDefault="00AF3424" w:rsidP="009B2132">
      <w:pPr>
        <w:spacing w:after="0"/>
      </w:pPr>
    </w:p>
    <w:p w:rsidR="00AF3424" w:rsidRPr="00AF3424" w:rsidRDefault="00AF3424" w:rsidP="009B2132">
      <w:pPr>
        <w:autoSpaceDE w:val="0"/>
        <w:autoSpaceDN w:val="0"/>
        <w:adjustRightInd w:val="0"/>
        <w:spacing w:after="0"/>
        <w:rPr>
          <w:rFonts w:eastAsia="Roboto-Regular"/>
        </w:rPr>
      </w:pPr>
      <w:r w:rsidRPr="00AF3424">
        <w:rPr>
          <w:noProof/>
        </w:rPr>
        <w:drawing>
          <wp:inline distT="0" distB="0" distL="0" distR="0">
            <wp:extent cx="3251835" cy="1979930"/>
            <wp:effectExtent l="0" t="0" r="5715" b="1270"/>
            <wp:docPr id="15" name="Рисунок 15" descr="C:\Users\user\AppData\Local\Temp\FineReader12.00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user\AppData\Local\Temp\FineReader12.00\media\image10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83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424" w:rsidRPr="00AF3424" w:rsidRDefault="00AF3424" w:rsidP="009B2132">
      <w:pPr>
        <w:autoSpaceDE w:val="0"/>
        <w:autoSpaceDN w:val="0"/>
        <w:adjustRightInd w:val="0"/>
        <w:spacing w:after="0"/>
        <w:rPr>
          <w:rFonts w:eastAsia="Roboto-Regular"/>
        </w:rPr>
      </w:pP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5.3.6. Витые пары должны полностью соответствовать категории 5е, все комплектующие (кабель, розетки, коммутационные панели, соединительные корды) должны соответствовать категории 5е;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 xml:space="preserve">5.3.7. Кабель витая пара должна быть на 4 пары. Разрешается использовать только экранированный кабель </w:t>
      </w:r>
      <w:r w:rsidRPr="00AF3424">
        <w:rPr>
          <w:rFonts w:eastAsia="Calibri"/>
          <w:lang w:val="en-US"/>
        </w:rPr>
        <w:t>FTP</w:t>
      </w:r>
      <w:r w:rsidRPr="00AF3424">
        <w:rPr>
          <w:rFonts w:eastAsia="Calibri"/>
        </w:rPr>
        <w:t>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5.3.8. Подрядчик предоставляет акт установки оборудования, с указанием серийных номеров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5.3.9. Все видеокамеры должны быть отъюстированы для обеспечения наилучших показателей захвату видеопотока.</w:t>
      </w:r>
    </w:p>
    <w:p w:rsidR="00AF3424" w:rsidRPr="00AF3424" w:rsidRDefault="00AF3424" w:rsidP="009B2132">
      <w:pPr>
        <w:spacing w:after="0"/>
        <w:ind w:firstLine="709"/>
        <w:jc w:val="left"/>
        <w:outlineLvl w:val="0"/>
        <w:rPr>
          <w:rFonts w:eastAsia="Calibri"/>
        </w:rPr>
      </w:pPr>
      <w:r w:rsidRPr="00AF3424">
        <w:rPr>
          <w:rFonts w:eastAsia="Calibri"/>
        </w:rPr>
        <w:t>5.4. Требования по предоставлению отчетных документов.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5.4.1. Подрядчик предоставляет Заказчику документацию по техническому обследованию объектов в бумажном и электронном виде в 2 экземплярах, в том числе: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 Структурную схему кабельной системы;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 Чертежи прокладки кабельных конструкций;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 Схемы размещения шкафов;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5.4.2. Подрядчик предоставляет фотоотчет по проделанным работам в электронной форме в формате *.jpg. В фотоотчет должны входить следующие фотографии: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-фотография наполнения шкафа, фото вид с открытой двери, фото вид с боку с открытой стеной, 2 фотографии, крупный план;</w:t>
      </w:r>
    </w:p>
    <w:p w:rsidR="00AF3424" w:rsidRPr="00AF3424" w:rsidRDefault="00AF3424" w:rsidP="009B2132">
      <w:pPr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-Также дополнительные фото на усмотрение Подрядчика.</w:t>
      </w:r>
    </w:p>
    <w:p w:rsidR="00AF3424" w:rsidRPr="00AF3424" w:rsidRDefault="00AF3424" w:rsidP="009B2132">
      <w:pPr>
        <w:spacing w:after="0"/>
        <w:ind w:firstLine="709"/>
        <w:outlineLvl w:val="0"/>
        <w:rPr>
          <w:b/>
          <w:spacing w:val="-1"/>
        </w:rPr>
      </w:pPr>
      <w:r w:rsidRPr="00AF3424">
        <w:rPr>
          <w:rFonts w:eastAsia="Calibri"/>
          <w:b/>
        </w:rPr>
        <w:t>6.</w:t>
      </w:r>
      <w:r w:rsidRPr="00AF3424">
        <w:rPr>
          <w:rFonts w:eastAsia="Calibri"/>
        </w:rPr>
        <w:t xml:space="preserve"> </w:t>
      </w:r>
      <w:r w:rsidRPr="00AF3424">
        <w:rPr>
          <w:b/>
          <w:spacing w:val="-1"/>
        </w:rPr>
        <w:t>Гарантийные обязательства</w:t>
      </w:r>
    </w:p>
    <w:p w:rsidR="00AF3424" w:rsidRPr="00AF3424" w:rsidRDefault="00AF3424" w:rsidP="009B2132">
      <w:pPr>
        <w:spacing w:after="0"/>
        <w:ind w:firstLine="709"/>
      </w:pPr>
      <w:r w:rsidRPr="00AF3424">
        <w:t>6.1. Гарантия качества и гарантийное обслуживание:</w:t>
      </w:r>
    </w:p>
    <w:p w:rsidR="00AF3424" w:rsidRPr="00AF3424" w:rsidRDefault="00AF3424" w:rsidP="009B2132">
      <w:pPr>
        <w:spacing w:after="0"/>
        <w:ind w:firstLine="709"/>
      </w:pPr>
      <w:r w:rsidRPr="00AF3424">
        <w:t xml:space="preserve">6.1.1. Срок гарантии на все единицы поставляемого оборудования в рамках настоящего Описания объекта закупки должен соответствовать сроку предоставления гарантии, установленному производителем оборудования, но не менее 12 (двенадцати) месяцев с даты подписания между Заказчиком и </w:t>
      </w:r>
      <w:r w:rsidRPr="00AF3424">
        <w:rPr>
          <w:rFonts w:eastAsia="Calibri"/>
        </w:rPr>
        <w:t xml:space="preserve">Подрядчиком </w:t>
      </w:r>
      <w:r w:rsidRPr="00AF3424">
        <w:t>документа о приемке.</w:t>
      </w:r>
    </w:p>
    <w:p w:rsidR="00AF3424" w:rsidRPr="00AF3424" w:rsidRDefault="00AF3424" w:rsidP="009B2132">
      <w:pPr>
        <w:spacing w:after="0"/>
        <w:ind w:firstLine="709"/>
      </w:pPr>
      <w:r w:rsidRPr="00AF3424">
        <w:t>Гарантийное обслуживание включает: поставку и замену запасных частей оборудования, проведение ремонта и устранение неисправностей, консультирование (техническую поддержку) персонала Заказчика по вопросам эксплуатации оборудования (по телефону, факсу, электронной почте в полном объеме и по существу вопроса).</w:t>
      </w:r>
    </w:p>
    <w:p w:rsidR="00AF3424" w:rsidRPr="00AF3424" w:rsidRDefault="00AF3424" w:rsidP="009B2132">
      <w:pPr>
        <w:spacing w:after="0"/>
        <w:ind w:firstLine="709"/>
      </w:pPr>
      <w:r w:rsidRPr="00AF3424">
        <w:lastRenderedPageBreak/>
        <w:t xml:space="preserve">6.1.2. Устранение дефектов или замена оборудования производится в срок 5(пять) рабочих дней со дня получения </w:t>
      </w:r>
      <w:r w:rsidRPr="00AF3424">
        <w:rPr>
          <w:rFonts w:eastAsia="Calibri"/>
        </w:rPr>
        <w:t>Подрядчиком</w:t>
      </w:r>
      <w:r w:rsidRPr="00AF3424">
        <w:t xml:space="preserve"> сообщения от Заказчика о выявленных дефектах. В случае, если предполагаемое устранение дефектов (ремонт) оборудования или замена его составных частей требует длительного срока (более 5-ти (пяти)</w:t>
      </w:r>
      <w:r w:rsidR="009B2132">
        <w:t xml:space="preserve"> </w:t>
      </w:r>
      <w:r w:rsidRPr="00AF3424">
        <w:t>рабочих дней), Подрядчик должен в течение 20 (двадцати) дней с момента установления причины неисправности предоставить Заказчику аналогичное оборудование.</w:t>
      </w:r>
    </w:p>
    <w:p w:rsidR="00AF3424" w:rsidRPr="00AF3424" w:rsidRDefault="00AF3424" w:rsidP="009B2132">
      <w:pPr>
        <w:spacing w:after="0"/>
        <w:ind w:firstLine="709"/>
      </w:pPr>
      <w:r w:rsidRPr="00AF3424">
        <w:t>В течение гарантийного периода Подрядчик обязуется устанавливать на оборудование запасные части, того же производителя, что и исходные комплектующие.</w:t>
      </w:r>
    </w:p>
    <w:p w:rsidR="00AF3424" w:rsidRPr="00AF3424" w:rsidRDefault="00AF3424" w:rsidP="009B2132">
      <w:pPr>
        <w:tabs>
          <w:tab w:val="left" w:pos="709"/>
        </w:tabs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6.2. Гарантия на выполненные работы:</w:t>
      </w:r>
    </w:p>
    <w:p w:rsidR="00AF3424" w:rsidRPr="00AF3424" w:rsidRDefault="00AF3424" w:rsidP="009B2132">
      <w:pPr>
        <w:tabs>
          <w:tab w:val="left" w:pos="709"/>
        </w:tabs>
        <w:spacing w:after="0"/>
        <w:ind w:firstLine="709"/>
        <w:outlineLvl w:val="0"/>
        <w:rPr>
          <w:rFonts w:eastAsia="Calibri"/>
        </w:rPr>
      </w:pPr>
      <w:r w:rsidRPr="00AF3424">
        <w:rPr>
          <w:rFonts w:eastAsia="Calibri"/>
        </w:rPr>
        <w:t>6.2.1. Подрядчик должен установить гарантийный срок на выполненные работы не менее 36 месяцев. В течение этого периода Подрядчик обязан за счет собственных средств устранять выявляемые в процессе эксплуатации на объекте нарушения и неисправности в организации электро-обеспечения систем оповещения. Гарантийный период исчисляется со дня подписания Заказчиком документа о приемке, сформированного с использованием единой информационной системы в сфере закупок.</w:t>
      </w:r>
    </w:p>
    <w:p w:rsidR="00AF3424" w:rsidRPr="00AF3424" w:rsidRDefault="00AF3424" w:rsidP="009B2132">
      <w:pPr>
        <w:spacing w:after="0"/>
        <w:ind w:firstLine="709"/>
      </w:pPr>
      <w:r w:rsidRPr="00AF3424">
        <w:rPr>
          <w:rFonts w:eastAsia="Calibri"/>
        </w:rPr>
        <w:t xml:space="preserve">6.2.2. </w:t>
      </w:r>
      <w:r w:rsidRPr="00AF3424">
        <w:t xml:space="preserve">Устранение дефектов производится в срок 5 (пять) рабочих дней со дня получения Подрядчиком сообщения от Заказчика о выявленных дефектах. </w:t>
      </w:r>
    </w:p>
    <w:p w:rsidR="00AF3424" w:rsidRPr="00AF3424" w:rsidRDefault="00AF3424" w:rsidP="009B2132">
      <w:pPr>
        <w:spacing w:after="0"/>
        <w:ind w:firstLine="709"/>
        <w:rPr>
          <w:b/>
        </w:rPr>
      </w:pPr>
      <w:r w:rsidRPr="00AF3424">
        <w:rPr>
          <w:b/>
        </w:rPr>
        <w:t>7.  Сроки выполнения работ.</w:t>
      </w:r>
    </w:p>
    <w:p w:rsidR="00AF3424" w:rsidRPr="00AF3424" w:rsidRDefault="00AF3424" w:rsidP="009B2132">
      <w:pPr>
        <w:tabs>
          <w:tab w:val="left" w:pos="1134"/>
          <w:tab w:val="left" w:pos="1276"/>
        </w:tabs>
        <w:spacing w:after="0"/>
        <w:ind w:firstLine="709"/>
      </w:pPr>
      <w:r w:rsidRPr="00AF3424">
        <w:t>Срок выполнения работ – до  01 декабря 2024 года</w:t>
      </w:r>
    </w:p>
    <w:p w:rsidR="00AF3424" w:rsidRPr="00AF3424" w:rsidRDefault="00AF3424" w:rsidP="009B2132">
      <w:pPr>
        <w:tabs>
          <w:tab w:val="left" w:pos="1134"/>
          <w:tab w:val="left" w:pos="1276"/>
        </w:tabs>
        <w:spacing w:after="0"/>
        <w:ind w:firstLine="709"/>
      </w:pPr>
    </w:p>
    <w:p w:rsidR="001F2C9A" w:rsidRPr="00AB7EAD" w:rsidRDefault="001F2C9A" w:rsidP="009B2132">
      <w:pPr>
        <w:spacing w:after="0"/>
      </w:pPr>
    </w:p>
    <w:p w:rsidR="001F2C9A" w:rsidRPr="00AB7EAD" w:rsidRDefault="001F2C9A" w:rsidP="009B2132">
      <w:pPr>
        <w:spacing w:after="0"/>
      </w:pPr>
    </w:p>
    <w:p w:rsidR="001F2C9A" w:rsidRPr="00AB7EAD" w:rsidRDefault="001F2C9A" w:rsidP="009B2132">
      <w:pPr>
        <w:spacing w:after="0"/>
        <w:rPr>
          <w:b/>
        </w:rPr>
      </w:pPr>
    </w:p>
    <w:p w:rsidR="001F2C9A" w:rsidRPr="001F2C9A" w:rsidRDefault="001F2C9A" w:rsidP="009B2132">
      <w:pPr>
        <w:spacing w:after="0"/>
        <w:rPr>
          <w:b/>
        </w:rPr>
      </w:pPr>
    </w:p>
    <w:sectPr w:rsidR="001F2C9A" w:rsidRPr="001F2C9A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33B" w:rsidRDefault="0082433B" w:rsidP="003C316D">
      <w:pPr>
        <w:spacing w:after="0"/>
      </w:pPr>
      <w:r>
        <w:separator/>
      </w:r>
    </w:p>
  </w:endnote>
  <w:endnote w:type="continuationSeparator" w:id="0">
    <w:p w:rsidR="0082433B" w:rsidRDefault="0082433B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33B" w:rsidRDefault="0082433B" w:rsidP="003C316D">
      <w:pPr>
        <w:spacing w:after="0"/>
      </w:pPr>
      <w:r>
        <w:separator/>
      </w:r>
    </w:p>
  </w:footnote>
  <w:footnote w:type="continuationSeparator" w:id="0">
    <w:p w:rsidR="0082433B" w:rsidRDefault="0082433B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2A2C16"/>
    <w:multiLevelType w:val="hybridMultilevel"/>
    <w:tmpl w:val="AD4CB90A"/>
    <w:lvl w:ilvl="0" w:tplc="52F4E79A">
      <w:start w:val="1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3E865DE7"/>
    <w:multiLevelType w:val="hybridMultilevel"/>
    <w:tmpl w:val="464C2FF2"/>
    <w:lvl w:ilvl="0" w:tplc="2A60F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3E97450"/>
    <w:multiLevelType w:val="hybridMultilevel"/>
    <w:tmpl w:val="2BF255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8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589C2841"/>
    <w:multiLevelType w:val="multilevel"/>
    <w:tmpl w:val="D168F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20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17"/>
  </w:num>
  <w:num w:numId="8">
    <w:abstractNumId w:val="14"/>
  </w:num>
  <w:num w:numId="9">
    <w:abstractNumId w:val="1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20"/>
  </w:num>
  <w:num w:numId="13">
    <w:abstractNumId w:val="15"/>
  </w:num>
  <w:num w:numId="14">
    <w:abstractNumId w:val="21"/>
  </w:num>
  <w:num w:numId="15">
    <w:abstractNumId w:val="16"/>
  </w:num>
  <w:num w:numId="16">
    <w:abstractNumId w:val="5"/>
  </w:num>
  <w:num w:numId="17">
    <w:abstractNumId w:val="6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77569"/>
    <w:rsid w:val="000805B0"/>
    <w:rsid w:val="00097332"/>
    <w:rsid w:val="000B5F63"/>
    <w:rsid w:val="000C7ED1"/>
    <w:rsid w:val="000D1E4B"/>
    <w:rsid w:val="000E343D"/>
    <w:rsid w:val="000F719D"/>
    <w:rsid w:val="001144F4"/>
    <w:rsid w:val="00125A7E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2C9A"/>
    <w:rsid w:val="001F6013"/>
    <w:rsid w:val="0024349D"/>
    <w:rsid w:val="002645C6"/>
    <w:rsid w:val="00270EAC"/>
    <w:rsid w:val="002775D9"/>
    <w:rsid w:val="002A0A54"/>
    <w:rsid w:val="002A4E68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A17C4"/>
    <w:rsid w:val="003C316D"/>
    <w:rsid w:val="003C6C75"/>
    <w:rsid w:val="003D5FD4"/>
    <w:rsid w:val="00451E63"/>
    <w:rsid w:val="00476AC9"/>
    <w:rsid w:val="0049515F"/>
    <w:rsid w:val="0050619B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E32FD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C6073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B33D8"/>
    <w:rsid w:val="007C75ED"/>
    <w:rsid w:val="00804D4D"/>
    <w:rsid w:val="0082433B"/>
    <w:rsid w:val="00840C54"/>
    <w:rsid w:val="0085257B"/>
    <w:rsid w:val="00854950"/>
    <w:rsid w:val="00860386"/>
    <w:rsid w:val="00874272"/>
    <w:rsid w:val="0088001D"/>
    <w:rsid w:val="0088445F"/>
    <w:rsid w:val="008A35B1"/>
    <w:rsid w:val="008A7E5C"/>
    <w:rsid w:val="008B30F2"/>
    <w:rsid w:val="008C095E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B2132"/>
    <w:rsid w:val="009B2682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B7EAD"/>
    <w:rsid w:val="00AE3621"/>
    <w:rsid w:val="00AE633F"/>
    <w:rsid w:val="00AF3424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841AA"/>
    <w:rsid w:val="00CB21E9"/>
    <w:rsid w:val="00CD1011"/>
    <w:rsid w:val="00CD1185"/>
    <w:rsid w:val="00CD11C6"/>
    <w:rsid w:val="00CD1302"/>
    <w:rsid w:val="00CE14BB"/>
    <w:rsid w:val="00CF26CD"/>
    <w:rsid w:val="00CF7470"/>
    <w:rsid w:val="00D14FDF"/>
    <w:rsid w:val="00D304AA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569D7"/>
    <w:rsid w:val="00F70F0F"/>
    <w:rsid w:val="00FC0A50"/>
    <w:rsid w:val="00FC101B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1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061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af2">
    <w:name w:val="Пункт"/>
    <w:basedOn w:val="a"/>
    <w:rsid w:val="001F2C9A"/>
    <w:pPr>
      <w:tabs>
        <w:tab w:val="num" w:pos="1980"/>
      </w:tabs>
      <w:spacing w:after="0"/>
      <w:ind w:left="1404" w:hanging="504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97</cp:revision>
  <cp:lastPrinted>2023-04-12T08:09:00Z</cp:lastPrinted>
  <dcterms:created xsi:type="dcterms:W3CDTF">2022-02-01T11:21:00Z</dcterms:created>
  <dcterms:modified xsi:type="dcterms:W3CDTF">2024-10-18T09:02:00Z</dcterms:modified>
</cp:coreProperties>
</file>