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A83B9C" w:rsidRDefault="00891137" w:rsidP="00A83B9C">
      <w:pPr>
        <w:autoSpaceDE w:val="0"/>
        <w:autoSpaceDN w:val="0"/>
        <w:adjustRightInd w:val="0"/>
        <w:jc w:val="right"/>
      </w:pPr>
      <w:r w:rsidRPr="00A83B9C">
        <w:t xml:space="preserve">Приложение № </w:t>
      </w:r>
      <w:r w:rsidR="00BA427E" w:rsidRPr="00A83B9C">
        <w:t>2</w:t>
      </w:r>
      <w:r w:rsidRPr="00A83B9C">
        <w:t xml:space="preserve"> </w:t>
      </w:r>
    </w:p>
    <w:p w:rsidR="006A27FD" w:rsidRPr="00A83B9C" w:rsidRDefault="00A83B9C" w:rsidP="00A83B9C">
      <w:pPr>
        <w:autoSpaceDE w:val="0"/>
        <w:autoSpaceDN w:val="0"/>
        <w:adjustRightInd w:val="0"/>
        <w:jc w:val="right"/>
        <w:rPr>
          <w:bCs/>
        </w:rPr>
      </w:pPr>
      <w:r w:rsidRPr="00A83B9C">
        <w:t xml:space="preserve">к </w:t>
      </w:r>
      <w:r w:rsidR="009779F2" w:rsidRPr="00A83B9C">
        <w:t xml:space="preserve">распоряжению </w:t>
      </w:r>
      <w:r w:rsidR="006A27FD" w:rsidRPr="00A83B9C">
        <w:rPr>
          <w:bCs/>
        </w:rPr>
        <w:t xml:space="preserve">Администрации </w:t>
      </w:r>
    </w:p>
    <w:p w:rsidR="006A27FD" w:rsidRPr="00A83B9C" w:rsidRDefault="006A27FD" w:rsidP="00A83B9C">
      <w:pPr>
        <w:autoSpaceDE w:val="0"/>
        <w:autoSpaceDN w:val="0"/>
        <w:adjustRightInd w:val="0"/>
        <w:jc w:val="right"/>
        <w:rPr>
          <w:bCs/>
        </w:rPr>
      </w:pPr>
      <w:r w:rsidRPr="00A83B9C">
        <w:rPr>
          <w:bCs/>
        </w:rPr>
        <w:t xml:space="preserve">МО «Ленский муниципальный район» </w:t>
      </w:r>
    </w:p>
    <w:p w:rsidR="009779F2" w:rsidRPr="00A83B9C" w:rsidRDefault="00A83B9C" w:rsidP="00A83B9C">
      <w:pPr>
        <w:autoSpaceDE w:val="0"/>
        <w:autoSpaceDN w:val="0"/>
        <w:adjustRightInd w:val="0"/>
        <w:jc w:val="right"/>
      </w:pPr>
      <w:r w:rsidRPr="00A83B9C">
        <w:t>от 8 февраля 2024 года № 38</w:t>
      </w:r>
    </w:p>
    <w:p w:rsidR="009779F2" w:rsidRPr="00A83B9C" w:rsidRDefault="009779F2" w:rsidP="00A83B9C">
      <w:pPr>
        <w:autoSpaceDE w:val="0"/>
        <w:autoSpaceDN w:val="0"/>
        <w:adjustRightInd w:val="0"/>
        <w:jc w:val="right"/>
        <w:rPr>
          <w:b/>
        </w:rPr>
      </w:pPr>
    </w:p>
    <w:p w:rsidR="008A2057" w:rsidRPr="00A83B9C" w:rsidRDefault="008A2057" w:rsidP="00A83B9C">
      <w:pPr>
        <w:jc w:val="center"/>
        <w:rPr>
          <w:b/>
          <w:bCs/>
        </w:rPr>
      </w:pPr>
      <w:r w:rsidRPr="00A83B9C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A83B9C" w:rsidRDefault="008A2057" w:rsidP="00A83B9C">
      <w:pPr>
        <w:rPr>
          <w:b/>
          <w:bCs/>
        </w:rPr>
      </w:pPr>
    </w:p>
    <w:p w:rsidR="00412AAC" w:rsidRPr="00A83B9C" w:rsidRDefault="008A2057" w:rsidP="00A83B9C">
      <w:pPr>
        <w:pStyle w:val="Default"/>
        <w:jc w:val="center"/>
        <w:rPr>
          <w:b/>
        </w:rPr>
      </w:pPr>
      <w:r w:rsidRPr="00A83B9C">
        <w:rPr>
          <w:b/>
          <w:bCs/>
        </w:rPr>
        <w:t xml:space="preserve">Объект закупки: </w:t>
      </w:r>
      <w:r w:rsidR="00412AAC" w:rsidRPr="00A83B9C">
        <w:rPr>
          <w:b/>
        </w:rPr>
        <w:t>Выполнение работ по погрузке и вывозу  снега с</w:t>
      </w:r>
      <w:r w:rsidR="000713E1" w:rsidRPr="00A83B9C">
        <w:rPr>
          <w:b/>
        </w:rPr>
        <w:t xml:space="preserve"> улиц с. Яренск</w:t>
      </w:r>
      <w:r w:rsidR="00412AAC" w:rsidRPr="00A83B9C">
        <w:rPr>
          <w:b/>
        </w:rPr>
        <w:t xml:space="preserve"> Ленского района</w:t>
      </w:r>
    </w:p>
    <w:p w:rsidR="00891137" w:rsidRPr="00786002" w:rsidRDefault="00891137" w:rsidP="00A83B9C">
      <w:pPr>
        <w:pStyle w:val="Default"/>
        <w:jc w:val="center"/>
        <w:rPr>
          <w:i/>
          <w:sz w:val="22"/>
          <w:szCs w:val="22"/>
        </w:rPr>
      </w:pPr>
      <w:r w:rsidRPr="00A83B9C">
        <w:rPr>
          <w:b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ресурсным сметным расчетом № </w:t>
            </w:r>
            <w:r w:rsidR="003606F6">
              <w:t>6-2024</w:t>
            </w:r>
            <w:r>
              <w:t xml:space="preserve">  от 0</w:t>
            </w:r>
            <w:r w:rsidR="003606F6">
              <w:t>1</w:t>
            </w:r>
            <w:r>
              <w:t>.02.202</w:t>
            </w:r>
            <w:r w:rsidR="003606F6">
              <w:t>4</w:t>
            </w:r>
            <w:r>
              <w:t>г. (Прилагается отдельным</w:t>
            </w:r>
            <w:proofErr w:type="gramEnd"/>
            <w:r>
              <w:t xml:space="preserve">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jc w:val="both"/>
            </w:pPr>
            <w:r>
              <w:t>Расчет НМЦК:  119,0</w:t>
            </w:r>
            <w:r w:rsidR="003606F6">
              <w:t>1</w:t>
            </w:r>
            <w:r>
              <w:t xml:space="preserve"> руб. * 1920 м3 = 228 </w:t>
            </w:r>
            <w:r w:rsidR="003606F6">
              <w:t>499</w:t>
            </w:r>
            <w:r>
              <w:t>,</w:t>
            </w:r>
            <w:r w:rsidR="003606F6">
              <w:t>2</w:t>
            </w:r>
            <w:r>
              <w:t>0 руб.</w:t>
            </w:r>
          </w:p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228 </w:t>
            </w:r>
            <w:r w:rsidR="003606F6">
              <w:t>499</w:t>
            </w:r>
            <w:r>
              <w:t xml:space="preserve"> </w:t>
            </w:r>
            <w:r w:rsidRPr="006544F4">
              <w:t xml:space="preserve"> (</w:t>
            </w:r>
            <w:r>
              <w:t xml:space="preserve">Двести двадцать восемь тысяч </w:t>
            </w:r>
            <w:r w:rsidR="003606F6">
              <w:t>четыреста девяносто девять</w:t>
            </w:r>
            <w:r>
              <w:t>) руб</w:t>
            </w:r>
            <w:r w:rsidR="003606F6">
              <w:t>лей 2</w:t>
            </w:r>
            <w:r>
              <w:t>0</w:t>
            </w:r>
            <w:r w:rsidRPr="006544F4">
              <w:t xml:space="preserve"> коп</w:t>
            </w:r>
            <w:r w:rsidR="003606F6">
              <w:t>еек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F04CE0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3606F6">
              <w:rPr>
                <w:sz w:val="22"/>
                <w:szCs w:val="22"/>
              </w:rPr>
              <w:t>06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3606F6"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t xml:space="preserve"> 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36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3402"/>
        <w:gridCol w:w="2409"/>
        <w:gridCol w:w="2977"/>
      </w:tblGrid>
      <w:tr w:rsidR="006F26EA" w:rsidRPr="006F26EA" w:rsidTr="006F26EA">
        <w:tc>
          <w:tcPr>
            <w:tcW w:w="4962" w:type="dxa"/>
          </w:tcPr>
          <w:p w:rsidR="006F26EA" w:rsidRPr="006F26EA" w:rsidRDefault="006F26EA" w:rsidP="006F26EA">
            <w:pPr>
              <w:spacing w:after="60"/>
              <w:jc w:val="both"/>
            </w:pPr>
            <w:r w:rsidRPr="006F26EA">
              <w:t>Наименование автомобильной дороги, с. Яренск</w:t>
            </w:r>
          </w:p>
        </w:tc>
        <w:tc>
          <w:tcPr>
            <w:tcW w:w="3402" w:type="dxa"/>
          </w:tcPr>
          <w:p w:rsidR="006F26EA" w:rsidRPr="006F26EA" w:rsidRDefault="006F26EA" w:rsidP="006F26EA">
            <w:pPr>
              <w:spacing w:after="60"/>
              <w:jc w:val="both"/>
            </w:pPr>
            <w:r w:rsidRPr="006F26EA">
              <w:t>Погрузка и вывоз снега на расстояние до 4 км, куб.м.</w:t>
            </w:r>
          </w:p>
        </w:tc>
        <w:tc>
          <w:tcPr>
            <w:tcW w:w="2409" w:type="dxa"/>
          </w:tcPr>
          <w:p w:rsidR="006F26EA" w:rsidRPr="006F26EA" w:rsidRDefault="006F26EA" w:rsidP="006F26EA">
            <w:pPr>
              <w:spacing w:after="60"/>
              <w:jc w:val="both"/>
            </w:pPr>
            <w:r w:rsidRPr="006F26EA">
              <w:t>Цена за 1 куб.м., руб.</w:t>
            </w:r>
          </w:p>
        </w:tc>
        <w:tc>
          <w:tcPr>
            <w:tcW w:w="2977" w:type="dxa"/>
          </w:tcPr>
          <w:p w:rsidR="006F26EA" w:rsidRPr="006F26EA" w:rsidRDefault="006F26EA" w:rsidP="006F26EA">
            <w:pPr>
              <w:spacing w:after="60"/>
              <w:jc w:val="center"/>
            </w:pPr>
            <w:r w:rsidRPr="006F26EA">
              <w:t>Начальная максимальная цена контракта, руб.</w:t>
            </w:r>
          </w:p>
        </w:tc>
      </w:tr>
      <w:tr w:rsidR="006F26EA" w:rsidRPr="006F26EA" w:rsidTr="006F26EA">
        <w:tc>
          <w:tcPr>
            <w:tcW w:w="496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 xml:space="preserve">с. Яренск 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Братьев Покровских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Октябрьская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Трудовая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Урицкого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Космонавтов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Пионерская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Адм. Жданова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Вычегодская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В. Дубинина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 xml:space="preserve">- ул. </w:t>
            </w:r>
            <w:proofErr w:type="spellStart"/>
            <w:r w:rsidRPr="006F26EA">
              <w:t>Кр</w:t>
            </w:r>
            <w:proofErr w:type="spellEnd"/>
            <w:r w:rsidRPr="006F26EA">
              <w:t>. Партизан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Маяковского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 xml:space="preserve">- пер. Лесной </w:t>
            </w:r>
          </w:p>
          <w:p w:rsidR="006F26EA" w:rsidRPr="006F26EA" w:rsidRDefault="006F26EA" w:rsidP="006F26EA">
            <w:pPr>
              <w:spacing w:after="60"/>
              <w:jc w:val="both"/>
            </w:pPr>
          </w:p>
        </w:tc>
        <w:tc>
          <w:tcPr>
            <w:tcW w:w="340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345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360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320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100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100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110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110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85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90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110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120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70</w:t>
            </w:r>
          </w:p>
        </w:tc>
        <w:tc>
          <w:tcPr>
            <w:tcW w:w="2409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</w:p>
        </w:tc>
        <w:tc>
          <w:tcPr>
            <w:tcW w:w="2977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</w:p>
        </w:tc>
      </w:tr>
      <w:tr w:rsidR="006F26EA" w:rsidRPr="006F26EA" w:rsidTr="006F26EA">
        <w:tc>
          <w:tcPr>
            <w:tcW w:w="496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  <w:rPr>
                <w:b/>
              </w:rPr>
            </w:pPr>
            <w:r w:rsidRPr="006F26EA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  <w:rPr>
                <w:b/>
              </w:rPr>
            </w:pPr>
            <w:r w:rsidRPr="006F26EA">
              <w:rPr>
                <w:b/>
              </w:rPr>
              <w:t>1920</w:t>
            </w:r>
          </w:p>
        </w:tc>
        <w:tc>
          <w:tcPr>
            <w:tcW w:w="2409" w:type="dxa"/>
          </w:tcPr>
          <w:p w:rsidR="006F26EA" w:rsidRPr="006F26EA" w:rsidRDefault="006F26EA" w:rsidP="006F26EA">
            <w:pPr>
              <w:spacing w:after="60"/>
              <w:jc w:val="both"/>
              <w:rPr>
                <w:b/>
              </w:rPr>
            </w:pPr>
            <w:r w:rsidRPr="006F26EA">
              <w:rPr>
                <w:b/>
              </w:rPr>
              <w:t>119,01</w:t>
            </w:r>
          </w:p>
        </w:tc>
        <w:tc>
          <w:tcPr>
            <w:tcW w:w="2977" w:type="dxa"/>
          </w:tcPr>
          <w:p w:rsidR="006F26EA" w:rsidRPr="006F26EA" w:rsidRDefault="006F26EA" w:rsidP="006F26EA">
            <w:pPr>
              <w:spacing w:after="60"/>
              <w:ind w:firstLine="709"/>
              <w:jc w:val="center"/>
              <w:rPr>
                <w:b/>
              </w:rPr>
            </w:pPr>
            <w:r w:rsidRPr="006F26EA">
              <w:rPr>
                <w:b/>
              </w:rPr>
              <w:t>228 499,2</w:t>
            </w:r>
            <w:r>
              <w:rPr>
                <w:b/>
              </w:rPr>
              <w:t>0</w:t>
            </w:r>
            <w:bookmarkStart w:id="0" w:name="_GoBack"/>
            <w:bookmarkEnd w:id="0"/>
          </w:p>
        </w:tc>
      </w:tr>
    </w:tbl>
    <w:p w:rsidR="007A0EE2" w:rsidRDefault="007A0EE2" w:rsidP="006F26EA"/>
    <w:sectPr w:rsidR="007A0EE2" w:rsidSect="006F26E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713E1"/>
    <w:rsid w:val="0007393E"/>
    <w:rsid w:val="000C7E08"/>
    <w:rsid w:val="001766E0"/>
    <w:rsid w:val="00196584"/>
    <w:rsid w:val="001D62B3"/>
    <w:rsid w:val="002C007F"/>
    <w:rsid w:val="003606F6"/>
    <w:rsid w:val="003F7520"/>
    <w:rsid w:val="00412AAC"/>
    <w:rsid w:val="00474E63"/>
    <w:rsid w:val="004907A4"/>
    <w:rsid w:val="00533973"/>
    <w:rsid w:val="006A27FD"/>
    <w:rsid w:val="006F26EA"/>
    <w:rsid w:val="007A0EE2"/>
    <w:rsid w:val="007D6B9B"/>
    <w:rsid w:val="00885BD6"/>
    <w:rsid w:val="00891137"/>
    <w:rsid w:val="008A2057"/>
    <w:rsid w:val="008B1511"/>
    <w:rsid w:val="00923642"/>
    <w:rsid w:val="009779F2"/>
    <w:rsid w:val="009F280C"/>
    <w:rsid w:val="00A07AAB"/>
    <w:rsid w:val="00A2404E"/>
    <w:rsid w:val="00A4034B"/>
    <w:rsid w:val="00A83B9C"/>
    <w:rsid w:val="00BA14EB"/>
    <w:rsid w:val="00BA427E"/>
    <w:rsid w:val="00F04CE0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19</cp:revision>
  <cp:lastPrinted>2022-02-09T12:16:00Z</cp:lastPrinted>
  <dcterms:created xsi:type="dcterms:W3CDTF">2022-01-31T11:23:00Z</dcterms:created>
  <dcterms:modified xsi:type="dcterms:W3CDTF">2024-02-08T13:22:00Z</dcterms:modified>
</cp:coreProperties>
</file>