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73" w:rsidRDefault="007A2D73">
      <w:pPr>
        <w:pStyle w:val="ae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D73" w:rsidRDefault="007A2D73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D73" w:rsidRPr="00325B9D" w:rsidRDefault="00B07BA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ОТЧЕТ</w:t>
      </w:r>
    </w:p>
    <w:p w:rsidR="007A2D73" w:rsidRPr="00325B9D" w:rsidRDefault="00B07BA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о работе Контрольно-счетной комиссии муниципального образования</w:t>
      </w:r>
    </w:p>
    <w:p w:rsidR="007A2D73" w:rsidRPr="00325B9D" w:rsidRDefault="00B07BA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Ленский</w:t>
      </w: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муниципальный район» за 2023 год</w:t>
      </w:r>
    </w:p>
    <w:p w:rsidR="007A2D73" w:rsidRPr="00325B9D" w:rsidRDefault="007A2D73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A2D73" w:rsidRPr="00325B9D" w:rsidRDefault="007A2D73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7A2D73" w:rsidRPr="00325B9D" w:rsidRDefault="00B07BA8">
      <w:pPr>
        <w:pStyle w:val="ae"/>
        <w:ind w:firstLineChars="263" w:firstLine="73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>Настоящий отчёт о деятельности контрольно-счётной комиссии  муниципального образования «Ленский муниципальный район»» за 2023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</w:t>
      </w:r>
      <w:r w:rsidR="00D447F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ии и муниципальных образований» </w:t>
      </w:r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статьи 14 пункта 8 Положения о контрольно-счётной комиссии  муниципального образования «Ленский муниципальный район» утвержденного решением Собрания депутатов МО</w:t>
      </w:r>
      <w:proofErr w:type="gramEnd"/>
      <w:r w:rsidRPr="00325B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«Ленский муниципальный район»» от 04.03.2022 г. № 156-н (далее – Положение о КСК). </w:t>
      </w:r>
    </w:p>
    <w:p w:rsidR="00663060" w:rsidRDefault="00663060" w:rsidP="00663060">
      <w:pPr>
        <w:pStyle w:val="ae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</w:t>
      </w:r>
      <w:r w:rsidRPr="00663060">
        <w:rPr>
          <w:rFonts w:ascii="Times New Roman" w:hAnsi="Times New Roman" w:cs="Times New Roman"/>
          <w:b/>
          <w:sz w:val="28"/>
          <w:szCs w:val="28"/>
          <w:lang w:val="ru-RU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B07BA8" w:rsidRPr="00663060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Общие положения</w:t>
      </w:r>
    </w:p>
    <w:p w:rsidR="007A2D73" w:rsidRPr="00663060" w:rsidRDefault="00663060" w:rsidP="00663060">
      <w:pPr>
        <w:pStyle w:val="ae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Контрольно-счетная комиссия МО «Ленский  муниципальный район» 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деятельность самостоятельно (п.1,2 ст.1 Положения о Контрольно-счетной комиссии МО «Ленский  муниципальный район»).</w:t>
      </w:r>
    </w:p>
    <w:p w:rsidR="007A2D73" w:rsidRPr="003225F8" w:rsidRDefault="00B07BA8" w:rsidP="00663060">
      <w:pPr>
        <w:pStyle w:val="a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Полномочия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Контрольно-счетной</w:t>
      </w:r>
      <w:r w:rsidR="00D447F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комиссии МО «</w:t>
      </w:r>
      <w:proofErr w:type="gramStart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Ленский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муниципальный район»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в 2023 году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</w:t>
      </w:r>
      <w:proofErr w:type="gramStart"/>
      <w:r w:rsidR="00DA5999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599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оложением «О контрольно-счѐтной комиссии муниципального образовани</w:t>
      </w:r>
      <w:r w:rsidR="00DA5999">
        <w:rPr>
          <w:rFonts w:ascii="Times New Roman" w:hAnsi="Times New Roman" w:cs="Times New Roman"/>
          <w:sz w:val="28"/>
          <w:szCs w:val="28"/>
          <w:lang w:val="ru-RU"/>
        </w:rPr>
        <w:t xml:space="preserve">я «Ленский муниципальный район»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утвержденным решением Собрания депутатов МО «Ленский муниципальный район» от 04.03.2022 № 156-н.</w:t>
      </w:r>
    </w:p>
    <w:p w:rsidR="00325B9D" w:rsidRPr="003225F8" w:rsidRDefault="00B07BA8" w:rsidP="00663060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Контрольно-счётная комиссия МО «Ленский муниципальный район» является органом местного самоуправления, обладает правами юридического лица. </w:t>
      </w:r>
    </w:p>
    <w:p w:rsidR="007A2D73" w:rsidRPr="003225F8" w:rsidRDefault="00B07BA8" w:rsidP="00663060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Показатели контрольно-счётной комиссии МО «Ленский муниципальный район» отражены в таблице.</w:t>
      </w:r>
    </w:p>
    <w:p w:rsidR="007A2D73" w:rsidRPr="003225F8" w:rsidRDefault="007A2D73" w:rsidP="00663060">
      <w:pPr>
        <w:pStyle w:val="ae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d"/>
        <w:tblW w:w="0" w:type="auto"/>
        <w:tblLook w:val="04A0"/>
      </w:tblPr>
      <w:tblGrid>
        <w:gridCol w:w="595"/>
        <w:gridCol w:w="7230"/>
        <w:gridCol w:w="1746"/>
      </w:tblGrid>
      <w:tr w:rsidR="007A2D73" w:rsidRPr="003225F8">
        <w:tc>
          <w:tcPr>
            <w:tcW w:w="595" w:type="dxa"/>
          </w:tcPr>
          <w:p w:rsidR="007A2D73" w:rsidRPr="003225F8" w:rsidRDefault="00B07BA8" w:rsidP="00663060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30" w:type="dxa"/>
          </w:tcPr>
          <w:p w:rsidR="007A2D73" w:rsidRPr="003225F8" w:rsidRDefault="00B07BA8" w:rsidP="00663060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  <w:proofErr w:type="spellEnd"/>
          </w:p>
        </w:tc>
        <w:tc>
          <w:tcPr>
            <w:tcW w:w="1746" w:type="dxa"/>
          </w:tcPr>
          <w:p w:rsidR="007A2D73" w:rsidRPr="003225F8" w:rsidRDefault="00B07BA8" w:rsidP="00663060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  <w:proofErr w:type="spellEnd"/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30" w:type="dxa"/>
          </w:tcPr>
          <w:p w:rsidR="007A2D73" w:rsidRPr="003225F8" w:rsidRDefault="00DA5999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</w:t>
            </w:r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ость</w:t>
            </w:r>
            <w:proofErr w:type="spellEnd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профессиональная</w:t>
            </w:r>
            <w:proofErr w:type="spellEnd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07BA8"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подготовка</w:t>
            </w:r>
            <w:proofErr w:type="spellEnd"/>
          </w:p>
        </w:tc>
        <w:tc>
          <w:tcPr>
            <w:tcW w:w="1746" w:type="dxa"/>
          </w:tcPr>
          <w:p w:rsidR="007A2D73" w:rsidRPr="003225F8" w:rsidRDefault="007A2D73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Утверждённая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работников</w:t>
            </w:r>
            <w:proofErr w:type="spellEnd"/>
          </w:p>
        </w:tc>
        <w:tc>
          <w:tcPr>
            <w:tcW w:w="1746" w:type="dxa"/>
          </w:tcPr>
          <w:p w:rsidR="007A2D73" w:rsidRPr="003225F8" w:rsidRDefault="00B07BA8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Фактическая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  <w:proofErr w:type="spellEnd"/>
          </w:p>
        </w:tc>
        <w:tc>
          <w:tcPr>
            <w:tcW w:w="1746" w:type="dxa"/>
          </w:tcPr>
          <w:p w:rsidR="007A2D73" w:rsidRPr="003225F8" w:rsidRDefault="00B07BA8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2D73" w:rsidRPr="003225F8"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Численность работников имеющих высшее образование</w:t>
            </w:r>
          </w:p>
        </w:tc>
        <w:tc>
          <w:tcPr>
            <w:tcW w:w="1746" w:type="dxa"/>
          </w:tcPr>
          <w:p w:rsidR="007A2D73" w:rsidRPr="003225F8" w:rsidRDefault="00B07BA8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2D73" w:rsidRPr="003225F8">
        <w:trPr>
          <w:trHeight w:val="291"/>
        </w:trPr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Численность работников, прошедших обучение по программе повышения квалификации </w:t>
            </w:r>
            <w:proofErr w:type="gramStart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</w:t>
            </w:r>
            <w:proofErr w:type="gramEnd"/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последние 3 года</w:t>
            </w:r>
          </w:p>
        </w:tc>
        <w:tc>
          <w:tcPr>
            <w:tcW w:w="1746" w:type="dxa"/>
          </w:tcPr>
          <w:p w:rsidR="007A2D73" w:rsidRPr="003225F8" w:rsidRDefault="00B07BA8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A2D73" w:rsidRPr="003225F8">
        <w:trPr>
          <w:trHeight w:val="291"/>
        </w:trPr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Финансовое</w:t>
            </w:r>
            <w:proofErr w:type="spellEnd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A028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</w:t>
            </w:r>
            <w:proofErr w:type="spellEnd"/>
            <w:r w:rsidR="00A028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25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деятельности</w:t>
            </w:r>
            <w:proofErr w:type="spellEnd"/>
          </w:p>
        </w:tc>
        <w:tc>
          <w:tcPr>
            <w:tcW w:w="1746" w:type="dxa"/>
          </w:tcPr>
          <w:p w:rsidR="007A2D73" w:rsidRPr="003225F8" w:rsidRDefault="007A2D73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2D73" w:rsidRPr="003225F8">
        <w:trPr>
          <w:trHeight w:val="291"/>
        </w:trPr>
        <w:tc>
          <w:tcPr>
            <w:tcW w:w="595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230" w:type="dxa"/>
          </w:tcPr>
          <w:p w:rsidR="007A2D73" w:rsidRPr="003225F8" w:rsidRDefault="00B07BA8" w:rsidP="003225F8">
            <w:pPr>
              <w:pStyle w:val="ae"/>
              <w:spacing w:before="240" w:after="2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Затраты на содержание контрольно-счетного органа в 2023 году (факт) (тыс. руб.)</w:t>
            </w:r>
          </w:p>
        </w:tc>
        <w:tc>
          <w:tcPr>
            <w:tcW w:w="1746" w:type="dxa"/>
          </w:tcPr>
          <w:p w:rsidR="007A2D73" w:rsidRPr="003225F8" w:rsidRDefault="00B07BA8" w:rsidP="003225F8">
            <w:pPr>
              <w:pStyle w:val="ae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2040,7</w:t>
            </w:r>
          </w:p>
        </w:tc>
      </w:tr>
    </w:tbl>
    <w:p w:rsidR="00A02873" w:rsidRDefault="00A02873" w:rsidP="00A02873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Контрольно-счетная комиссия МО «Ленский муниципальный район» образовалась в 2022 году с 01.11.2022г.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827E8" w:rsidRDefault="00A02873" w:rsidP="0040533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Р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абота контрольно-счётной комиссии  в отчётном периоде строилась  в соответствии с планом работы на 2023</w:t>
      </w:r>
      <w:r w:rsidR="006D0F6F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6D0F6F" w:rsidRPr="00A02873" w:rsidRDefault="009827E8" w:rsidP="0040533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План работы контрольно-счётной комиссии МО «Ленский муниципальный</w:t>
      </w:r>
      <w:r w:rsidR="00DA5999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район» на 2023 год сформирован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исходя из</w:t>
      </w:r>
      <w:r w:rsidR="00DA5999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необходимости реализации задач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поставленных перед органом внешнего муниципального финансового контроля.</w:t>
      </w:r>
    </w:p>
    <w:p w:rsidR="007A2D73" w:rsidRPr="003225F8" w:rsidRDefault="00DA5999" w:rsidP="0040533B">
      <w:pPr>
        <w:spacing w:after="0" w:line="240" w:lineRule="atLeast"/>
        <w:ind w:firstLineChars="150" w:firstLine="4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Основными </w:t>
      </w:r>
      <w:proofErr w:type="gramStart"/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направлениями</w:t>
      </w:r>
      <w:proofErr w:type="gramEnd"/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по которым осуществлялась деятельность контрольно-счётн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ой комиссии  в отчётном периоде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являлись: экспертно-аналитическое, контрольное и информационное.</w:t>
      </w:r>
    </w:p>
    <w:p w:rsidR="004E26B8" w:rsidRPr="003225F8" w:rsidRDefault="00B07BA8" w:rsidP="0040533B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 контрольно-счётной комиссии в 2023 году осуществлялась в единой системе предотвращения финансовых нарушений при проведении эксп</w:t>
      </w:r>
      <w:r w:rsidR="00DA59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ертно-аналитических мероприятий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их выявления при проведении контрольных мероприятий, руководствуясь принципами законности, объективности, эффективности, независимости.</w:t>
      </w:r>
    </w:p>
    <w:p w:rsidR="00663060" w:rsidRDefault="006A27AB" w:rsidP="00663060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В 2023 году работа с поселениями входящих в состав МО «Ленский муниципальный район»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осуществлялась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 основании соглашений о передач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части полномочий 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онтрольно-счетной комиссии  МО «Ленский муниципальный район» полномочий контрольно-счетного органа  поселений МО «Урдомское», «Сафроновское», «Козьминское», «Сойгинское».</w:t>
      </w:r>
    </w:p>
    <w:p w:rsidR="007A2D73" w:rsidRPr="00663060" w:rsidRDefault="00B07BA8" w:rsidP="00663060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2023 году Контрольно-счетной комиссией проводились  </w:t>
      </w:r>
      <w:r w:rsidR="006A27AB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контрольные мероприятия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запросу </w:t>
      </w:r>
      <w:r w:rsidR="006A27AB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правоохранительных органов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,  Главы МО «Ленский муниципальный район,  Совета депутатов МО «Сафроновское».</w:t>
      </w:r>
    </w:p>
    <w:p w:rsidR="007A2D73" w:rsidRPr="003225F8" w:rsidRDefault="00B07BA8" w:rsidP="00663060">
      <w:pPr>
        <w:pStyle w:val="ae"/>
        <w:ind w:firstLine="35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6A27AB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По результатам проведённых контрольных мероприятий по устан</w:t>
      </w:r>
      <w:r w:rsidR="006A27AB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овленным нарушениям  в  2023 г.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контрольно-счетной комиссией МО «Ленский муниципальный район»  составлено три протокола об административном правонарушении</w:t>
      </w:r>
      <w:r w:rsidR="0027630D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которые рассм</w:t>
      </w:r>
      <w:r w:rsidR="006A27AB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атривались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судебном заседании.</w:t>
      </w:r>
    </w:p>
    <w:p w:rsidR="007A2D73" w:rsidRPr="003225F8" w:rsidRDefault="00B23AE1" w:rsidP="00663060">
      <w:pPr>
        <w:pStyle w:val="ae"/>
        <w:ind w:firstLine="35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В </w:t>
      </w:r>
      <w:r w:rsidR="00B07BA8" w:rsidRPr="003225F8">
        <w:rPr>
          <w:rFonts w:ascii="Times New Roman" w:eastAsia="SimSun" w:hAnsi="Times New Roman" w:cs="Times New Roman"/>
          <w:sz w:val="28"/>
          <w:szCs w:val="28"/>
          <w:lang w:val="ru-RU"/>
        </w:rPr>
        <w:t>настоящем отчете представлена сводная информация о реализованных в 2023 году экспертно-аналитических и контрольных мероприятиях.</w:t>
      </w:r>
    </w:p>
    <w:p w:rsidR="00115405" w:rsidRDefault="00115405" w:rsidP="00115405">
      <w:pPr>
        <w:pStyle w:val="ae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lastRenderedPageBreak/>
        <w:t>2.</w:t>
      </w:r>
      <w:r w:rsidR="00A0287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07BA8" w:rsidRPr="00115405">
        <w:rPr>
          <w:rFonts w:ascii="Times New Roman" w:hAnsi="Times New Roman" w:cs="Times New Roman"/>
          <w:b/>
          <w:sz w:val="28"/>
          <w:szCs w:val="28"/>
          <w:lang w:val="ru-RU" w:eastAsia="ru-RU"/>
        </w:rPr>
        <w:t>Экспертно-аналитическая деятельность</w:t>
      </w:r>
    </w:p>
    <w:p w:rsidR="007A2D73" w:rsidRPr="00115405" w:rsidRDefault="00A02873" w:rsidP="00B23AE1">
      <w:pPr>
        <w:pStyle w:val="ae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</w:t>
      </w:r>
      <w:r w:rsid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течени</w:t>
      </w:r>
      <w:proofErr w:type="gramStart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gramEnd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2023 года проведено </w:t>
      </w:r>
      <w:r w:rsidR="006B09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экспертн</w:t>
      </w:r>
      <w:r w:rsidR="00B23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о-аналитических мероприятий </w:t>
      </w:r>
      <w:r w:rsidR="001154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</w:t>
      </w:r>
      <w:r w:rsidR="006B09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экспертиза проекта нормативно правового акта, из них:</w:t>
      </w:r>
    </w:p>
    <w:p w:rsidR="004E3CC1" w:rsidRPr="003225F8" w:rsidRDefault="0027630D" w:rsidP="00B2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E3CC1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Экспертиза и подготовка заключения на проект решения Собрания депутатов «О бюджете МО «Ленский  муниципальный район» </w:t>
      </w:r>
    </w:p>
    <w:p w:rsidR="007A2D73" w:rsidRPr="003225F8" w:rsidRDefault="00B07BA8" w:rsidP="00B2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2024 год – 1.</w:t>
      </w:r>
    </w:p>
    <w:p w:rsidR="007A2D73" w:rsidRPr="003225F8" w:rsidRDefault="00B07BA8" w:rsidP="00B23AE1">
      <w:pPr>
        <w:pStyle w:val="Default"/>
        <w:rPr>
          <w:rFonts w:eastAsiaTheme="minorHAnsi"/>
          <w:sz w:val="28"/>
          <w:szCs w:val="28"/>
          <w:lang w:val="ru-RU"/>
        </w:rPr>
      </w:pPr>
      <w:r w:rsidRPr="003225F8">
        <w:rPr>
          <w:sz w:val="28"/>
          <w:szCs w:val="28"/>
          <w:lang w:val="ru-RU"/>
        </w:rPr>
        <w:t xml:space="preserve">        Экспертизы проекта решения «О бюджете  муниципального образования «Урдомское» на 2024 год»   </w:t>
      </w:r>
      <w:r w:rsidRPr="003225F8">
        <w:rPr>
          <w:rFonts w:eastAsia="Times New Roman"/>
          <w:sz w:val="28"/>
          <w:szCs w:val="28"/>
          <w:lang w:val="ru-RU" w:eastAsia="ru-RU"/>
        </w:rPr>
        <w:t>– 1.</w:t>
      </w:r>
    </w:p>
    <w:p w:rsidR="007A2D73" w:rsidRPr="003225F8" w:rsidRDefault="00B07BA8" w:rsidP="00B23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3225F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Экспертиза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3225F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на  проект </w:t>
      </w:r>
      <w:r w:rsidRPr="003225F8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lang w:val="ru-RU"/>
        </w:rPr>
        <w:t>решения Собрания депутатов МО «Ленский муниципальный район»</w:t>
      </w:r>
      <w:r w:rsidRPr="003225F8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 xml:space="preserve"> </w:t>
      </w: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>«Об утверждении минимальног</w:t>
      </w:r>
      <w:r w:rsidR="009827E8">
        <w:rPr>
          <w:rFonts w:ascii="Times New Roman" w:eastAsia="Calibri" w:hAnsi="Times New Roman" w:cs="Times New Roman"/>
          <w:sz w:val="28"/>
          <w:szCs w:val="28"/>
          <w:lang w:val="ru-RU"/>
        </w:rPr>
        <w:t>о размера пенсии за выслугу лет</w:t>
      </w: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>лицам</w:t>
      </w:r>
      <w:proofErr w:type="gramEnd"/>
      <w:r w:rsidR="00DA59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замещавшим муниципальные должности, должности муниципальной службы в муниципальном образовании «Ленский муниципальный район»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- 1. </w:t>
      </w:r>
    </w:p>
    <w:p w:rsidR="007A2D73" w:rsidRPr="003225F8" w:rsidRDefault="00B07BA8" w:rsidP="00B23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Calibri" w:hAnsi="Times New Roman" w:cs="Times New Roman"/>
          <w:sz w:val="28"/>
          <w:szCs w:val="28"/>
          <w:lang w:val="ru-RU"/>
        </w:rPr>
        <w:t>Экспертиза  проекта решения Собрания депутатов «О внесении изменений в решение Собрания депутатов МО «Ленский муниципальный район» от  15.12.2022  №-6-н «О бюджете муниципального образования «Ленский муниципальный район» на 2023 год»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6B09E7">
        <w:rPr>
          <w:rFonts w:ascii="Times New Roman" w:hAnsi="Times New Roman" w:cs="Times New Roman"/>
          <w:sz w:val="28"/>
          <w:szCs w:val="28"/>
          <w:lang w:val="ru-RU"/>
        </w:rPr>
        <w:t>4.</w:t>
      </w:r>
    </w:p>
    <w:p w:rsidR="007A2D73" w:rsidRPr="003225F8" w:rsidRDefault="00B07BA8" w:rsidP="00B2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     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области внешнего финансового контроля контрольно-счетная</w:t>
      </w:r>
      <w:r w:rsidR="00DA59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комиссия наделена полномочиями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 </w:t>
      </w:r>
      <w:proofErr w:type="gramStart"/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реализации</w:t>
      </w:r>
      <w:proofErr w:type="gramEnd"/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которых невозможно обсуждение и принятие проекта бюджета и его корректировок, а также утверждение отчёта о его исполнении.</w:t>
      </w:r>
    </w:p>
    <w:p w:rsidR="007A2D73" w:rsidRPr="003225F8" w:rsidRDefault="00B07BA8" w:rsidP="00B23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2023 году была проведена экспертиза проекта бюджета муниципального образования «Ленский муниципальный район» на 2024 год                            </w:t>
      </w:r>
    </w:p>
    <w:p w:rsidR="007A2D73" w:rsidRPr="003225F8" w:rsidRDefault="00B07BA8" w:rsidP="00DA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результатам экспертиз установлено, что проекты бюджета  МО «Ленский муниципальный район» в 2023 г. соответствуют нормам бюджетного законодательства.</w:t>
      </w:r>
    </w:p>
    <w:p w:rsidR="007A2D73" w:rsidRDefault="00B23AE1" w:rsidP="00B23AE1">
      <w:pPr>
        <w:spacing w:after="0" w:line="240" w:lineRule="auto"/>
        <w:ind w:firstLineChars="150" w:firstLine="4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Заключения по проведённым экспертизам контрольно-счётной комиссией МО «Ленский муниципальный район» направлялись в Собрание депутатов МО «Ленский муниципальный район» и Главе </w:t>
      </w:r>
      <w:r w:rsidR="00C63EE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МО «Ленский </w:t>
      </w:r>
      <w:r w:rsidR="00B07BA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муниципальный район», рассматривались на заседаниях постоянных депутатских комиссиях Собрания депутатов МО «Ленский муниципальный район». </w:t>
      </w:r>
    </w:p>
    <w:p w:rsidR="002C64D8" w:rsidRPr="002C64D8" w:rsidRDefault="002C64D8" w:rsidP="002C64D8">
      <w:pPr>
        <w:spacing w:after="0" w:line="240" w:lineRule="auto"/>
        <w:ind w:firstLineChars="150" w:firstLine="4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 w:rsidRPr="002C64D8">
        <w:rPr>
          <w:rFonts w:ascii="Times New Roman" w:hAnsi="Times New Roman" w:cs="Times New Roman"/>
          <w:sz w:val="28"/>
          <w:szCs w:val="28"/>
          <w:lang w:val="ru-RU"/>
        </w:rPr>
        <w:t>В течение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proofErr w:type="gramStart"/>
      <w:r w:rsidRPr="002C64D8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МО «Ленский муниципальный район» 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осуществлялся на основании проверок ежеквартальных отчетов администрации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об исполнении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 анализа сведений дебиторской и кредиторской задолженности. По результатам осуществляемого контрольно-счётной комиссией в течение 202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proofErr w:type="gramStart"/>
      <w:r w:rsidRPr="002C64D8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 направлялись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 xml:space="preserve">в Собрание 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>депутатов М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и главе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район».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аправлены заключения на отчет об исполнении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за 1 квартал, 1 полугодие, 9 месяцев, в которых представлен анализ данных по исполнению бюджета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. За отчетный период контрольно-счётной комиссией проведена экспертиза всех внесенных администрацией 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>МО «Ленский муниципальный район»</w:t>
      </w:r>
      <w:r w:rsidRPr="002C64D8">
        <w:rPr>
          <w:rFonts w:ascii="Times New Roman" w:hAnsi="Times New Roman" w:cs="Times New Roman"/>
          <w:sz w:val="28"/>
          <w:szCs w:val="28"/>
          <w:lang w:val="ru-RU"/>
        </w:rPr>
        <w:t xml:space="preserve"> проектов решений об изменении бюджета</w:t>
      </w:r>
      <w:r w:rsidR="00D447F7">
        <w:rPr>
          <w:rFonts w:ascii="Times New Roman" w:hAnsi="Times New Roman" w:cs="Times New Roman"/>
          <w:sz w:val="28"/>
          <w:szCs w:val="28"/>
          <w:lang w:val="ru-RU"/>
        </w:rPr>
        <w:t xml:space="preserve"> МО «Ленский муниципальный район».</w:t>
      </w:r>
    </w:p>
    <w:p w:rsidR="007A2D73" w:rsidRPr="003225F8" w:rsidRDefault="00B07BA8" w:rsidP="00B23AE1">
      <w:pPr>
        <w:spacing w:after="0" w:line="240" w:lineRule="auto"/>
        <w:ind w:firstLineChars="300" w:firstLine="84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Так же </w:t>
      </w:r>
      <w:r w:rsidR="002C64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контрольно-счетной комиссией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проведена экспертиза проекта бюджета МО «Урдомское» на 2024 год. </w:t>
      </w:r>
    </w:p>
    <w:p w:rsidR="007A2D73" w:rsidRPr="003225F8" w:rsidRDefault="00B07BA8" w:rsidP="00B23A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подготовке заключения на проект решений о бюджете посел</w:t>
      </w:r>
      <w:r w:rsidR="00AF56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ения МО «Урдомское» на 2024 год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проверено наличие и оценено состояние нормативной и методологической базы, регулирующей порядок формирования бюджета, расчётов его основных показателей. По результатам экспертизы в муниципальном образовании «Урдомское» установлены недостатки и замечания: </w:t>
      </w:r>
    </w:p>
    <w:p w:rsidR="007A2D73" w:rsidRPr="003225F8" w:rsidRDefault="00B07BA8" w:rsidP="00B23A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B23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объем безвозмездных поступлений в муниципальный бюджет «Урдомское» от других бюджетов бюджетной системы Российской Федерации на 2024 годы спланирован с нарушение БК статей 28,33,36,37 на 2024 год, прогнозировался с увеличение объёмов межбюджетных трансфертов в сумме 114245,9 тыс. руб., что больше прогноза запланированного бюджетом МО «Ленский муниципальный район» безвозмездных поступлений в бюджет МО «Урдомское» на 2024 год в сумме 4795,2</w:t>
      </w:r>
      <w:r w:rsidR="00E259A1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рублей;</w:t>
      </w:r>
      <w:proofErr w:type="gramEnd"/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>- с несоответствием прогноза налоговых и не</w:t>
      </w:r>
      <w:r w:rsidR="00AF56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налоговых доходов на очередной финансовый год</w:t>
      </w:r>
      <w:r w:rsidR="00AF56C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56C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C64D8">
        <w:rPr>
          <w:rFonts w:ascii="Times New Roman" w:hAnsi="Times New Roman" w:cs="Times New Roman"/>
          <w:sz w:val="28"/>
          <w:szCs w:val="28"/>
          <w:lang w:val="ru-RU"/>
        </w:rPr>
        <w:t xml:space="preserve">алоги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рассчитаны с нарушением методики прогнозирования поступлений доходов в бюджет МО «Урдомское», утверждённой Администрацией МО «Урдомское» от 19.08.2016 г. № 56, Закона о бюджете Архангельской области на 2023-2025 г.;</w:t>
      </w:r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B23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с несоответствием (отсутстви</w:t>
      </w:r>
      <w:r w:rsidR="00AF56C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ем) материалов и </w:t>
      </w:r>
      <w:proofErr w:type="gramStart"/>
      <w:r w:rsidR="00AF56C6">
        <w:rPr>
          <w:rFonts w:ascii="Times New Roman" w:hAnsi="Times New Roman" w:cs="Times New Roman"/>
          <w:sz w:val="28"/>
          <w:szCs w:val="28"/>
          <w:lang w:val="ru-RU" w:eastAsia="ru-RU"/>
        </w:rPr>
        <w:t>документов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представляемых одновременно с проектом бюджета.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A2D73" w:rsidRPr="003225F8" w:rsidRDefault="00B07BA8" w:rsidP="00B23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замечания были устранены путём внесения изменений в проект решения и его приложения.</w:t>
      </w:r>
    </w:p>
    <w:p w:rsidR="007A2D73" w:rsidRPr="003225F8" w:rsidRDefault="00B07BA8" w:rsidP="00B23AE1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Заключение по проведённой экспертизе бюджета МО «Урдомское» на 2024 г., контрольно-счётной комиссией  направлен в  Совет депутатов городского поселения МО «Урдомское» и Главе МО «Урдомское</w:t>
      </w:r>
      <w:r w:rsidR="00C63EE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.</w:t>
      </w: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 </w:t>
      </w:r>
      <w:r w:rsidR="00C63EE8"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П</w:t>
      </w:r>
      <w:r w:rsidRPr="003225F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роект решения МО «Урдомское»  рассмотрен на заседании  депутатской комиссии  Совета депутатов городского поселения МО «Урдомское». </w:t>
      </w:r>
    </w:p>
    <w:p w:rsidR="00B23AE1" w:rsidRDefault="00B23AE1" w:rsidP="00B23AE1">
      <w:pPr>
        <w:pStyle w:val="ae"/>
        <w:spacing w:before="240" w:after="24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</w:t>
      </w:r>
      <w:r w:rsidR="003848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B23A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7BA8" w:rsidRPr="00B23A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Контрольная деятельность</w:t>
      </w:r>
    </w:p>
    <w:p w:rsidR="00B23AE1" w:rsidRDefault="00B23AE1" w:rsidP="00663060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течени</w:t>
      </w:r>
      <w:proofErr w:type="gramStart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gramEnd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2023 г. Контрольно-счётной комиссией было осуществлено 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контрольных мероприяти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 и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 контрольных мероприятие по требованию прокуратуры Ленского района, 1 контрольное мероприятие по запросу  Главы Администрации МО «Ленский муниципальный район» и 1 контрольное мероприятие по запросу председателя Сов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ета депутатов МО «Сафроновское»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Охвачено 12 объектов контроля.</w:t>
      </w:r>
    </w:p>
    <w:p w:rsidR="007A2D73" w:rsidRPr="009827E8" w:rsidRDefault="00B23AE1" w:rsidP="00B23AE1">
      <w:pPr>
        <w:pStyle w:val="ae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3.1. Внешняя проверка отчёта по исполнению бюджета муниципального образования «Ленский муниципальный район»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включала в себя внешнюю пр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верку 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годовой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бюджетной отчётности </w:t>
      </w:r>
      <w:r w:rsidR="00C63EE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четырех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главных распорядителей бюджетных средств:</w:t>
      </w:r>
    </w:p>
    <w:p w:rsidR="007A2D73" w:rsidRPr="003225F8" w:rsidRDefault="00B07BA8" w:rsidP="00B23AE1">
      <w:pPr>
        <w:pStyle w:val="ae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-Администрация муниципального образования «Ленский муниципальный район»</w:t>
      </w:r>
      <w:proofErr w:type="gramStart"/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;</w:t>
      </w:r>
      <w:proofErr w:type="gramEnd"/>
    </w:p>
    <w:p w:rsidR="007A2D73" w:rsidRPr="003225F8" w:rsidRDefault="00B07BA8" w:rsidP="00B23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-Собрание депутатов муниципального образования «Ленский муниципальный район»</w:t>
      </w:r>
      <w:proofErr w:type="gramStart"/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;</w:t>
      </w:r>
      <w:proofErr w:type="gramEnd"/>
    </w:p>
    <w:p w:rsidR="007A2D73" w:rsidRPr="003225F8" w:rsidRDefault="00B07BA8" w:rsidP="00663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-Финансовый отдел </w:t>
      </w: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администрации муниципального образования «Ленский муниципальный район»;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7A2D73" w:rsidRPr="00663060" w:rsidRDefault="00B07BA8" w:rsidP="00663060">
      <w:pP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3225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6306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-Отдел образования </w:t>
      </w:r>
      <w:r w:rsidRPr="003225F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администрации муниципального образования «Ленский муниципальный район»;</w:t>
      </w:r>
    </w:p>
    <w:p w:rsidR="007A2D73" w:rsidRPr="003225F8" w:rsidRDefault="00B07BA8" w:rsidP="00B23A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 При проведении внешней проверки годовой отчётности была проверена своевременность представления, полнота отчётности Главных распорядителей бюджетных средств и отчёта об исполнении бюджета муниципального образования «Ленский муниципальный район» за 2022 год. </w:t>
      </w:r>
    </w:p>
    <w:p w:rsidR="007A2D73" w:rsidRPr="003225F8" w:rsidRDefault="00B07BA8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>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бюджета.</w:t>
      </w:r>
    </w:p>
    <w:p w:rsidR="007A2D73" w:rsidRPr="003225F8" w:rsidRDefault="00B07BA8" w:rsidP="00B23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Заключение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на отчет об исполнении бюджета муниципального образования «Ленский муниципальный район» за 2022 год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было направлено в Собрание депутатов и Главе муниципального образования «Ленский муниципальный район» 26 мая 2023 года. </w:t>
      </w:r>
    </w:p>
    <w:p w:rsidR="007A2D73" w:rsidRPr="003225F8" w:rsidRDefault="00B07BA8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3.2.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>отчетном году проведен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внешн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яя 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>проверк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годовых отчетов об исполнении бюджет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0193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МО «Урдомское», «Сафроновское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», «Козьминское», «Сойгинское» за 2022 г.</w:t>
      </w:r>
      <w:r w:rsidR="003848A1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о всем поселениям </w:t>
      </w:r>
      <w:proofErr w:type="gramStart"/>
      <w:r w:rsidRPr="003225F8">
        <w:rPr>
          <w:rFonts w:ascii="Times New Roman" w:hAnsi="Times New Roman" w:cs="Times New Roman"/>
          <w:sz w:val="28"/>
          <w:szCs w:val="28"/>
          <w:lang w:val="ru-RU"/>
        </w:rPr>
        <w:t>подготовлено Заключение о результатах экспе</w:t>
      </w:r>
      <w:r w:rsidR="00613784" w:rsidRPr="003225F8">
        <w:rPr>
          <w:rFonts w:ascii="Times New Roman" w:hAnsi="Times New Roman" w:cs="Times New Roman"/>
          <w:sz w:val="28"/>
          <w:szCs w:val="28"/>
          <w:lang w:val="ru-RU"/>
        </w:rPr>
        <w:t>ртно-аналитического мероприятия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которыми выявлены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отдельные недостатки при организации и осуществлении бюджетного процесса, такие как:</w:t>
      </w:r>
    </w:p>
    <w:p w:rsidR="007A2D73" w:rsidRPr="003225F8" w:rsidRDefault="00B07BA8" w:rsidP="00B23AE1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проект решения об исполнении бюджета поселения не соответствует данным годового отчета;</w:t>
      </w:r>
    </w:p>
    <w:p w:rsidR="007A2D73" w:rsidRPr="003225F8" w:rsidRDefault="00613784" w:rsidP="00B23AE1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нормативно – правовая база муниципальных образований для формирования и исполнения бюджета не соответствует действующему законодательству;</w:t>
      </w:r>
    </w:p>
    <w:p w:rsidR="007A2D73" w:rsidRPr="003225F8" w:rsidRDefault="00B07BA8" w:rsidP="00B23AE1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613784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представление не всех документов к проверке.</w:t>
      </w:r>
    </w:p>
    <w:p w:rsidR="007A2D73" w:rsidRPr="003225F8" w:rsidRDefault="007A2D73" w:rsidP="00B2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D73" w:rsidRPr="003225F8" w:rsidRDefault="00B07BA8" w:rsidP="00B23AE1">
      <w:pPr>
        <w:spacing w:after="0" w:line="24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3.3.Контрольные мероприятия </w:t>
      </w:r>
    </w:p>
    <w:p w:rsidR="007A2D73" w:rsidRPr="003225F8" w:rsidRDefault="00B07BA8" w:rsidP="00B2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осуществлении контрольных мероприятий внимани</w:t>
      </w:r>
      <w:r w:rsidR="003848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уделялось выявлению нарушений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имеющих системный</w:t>
      </w:r>
      <w:r w:rsidR="003848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3848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</w:t>
      </w:r>
      <w:proofErr w:type="gramEnd"/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 также выработке предложений по уст</w:t>
      </w:r>
      <w:r w:rsidR="003848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ранению и предотвращению причин</w:t>
      </w:r>
      <w:r w:rsidR="00E71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способствующих их совершению и как следствие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повышению эффективности расходования бюджетных средств. За отчётный период были реализованы следующие контрольные мероприятия:</w:t>
      </w:r>
    </w:p>
    <w:p w:rsidR="007A2D73" w:rsidRPr="003225F8" w:rsidRDefault="00B07BA8" w:rsidP="00B23AE1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1. По запросу председателя </w:t>
      </w:r>
      <w:r w:rsidR="003225F8" w:rsidRPr="003225F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овета депутатов МО «Сафроновское» проведена проверка перечисления из бюджета МО «Сафроновское» в бюджет МО «Ленский муниципальный район» и финансирование муниципального задания МБОУ ДОД КЦДО субсидии на передаваемые полномочия в разм</w:t>
      </w:r>
      <w:r w:rsidR="00E71EA3">
        <w:rPr>
          <w:rFonts w:ascii="Times New Roman" w:hAnsi="Times New Roman" w:cs="Times New Roman"/>
          <w:sz w:val="28"/>
          <w:szCs w:val="28"/>
          <w:lang w:val="ru-RU"/>
        </w:rPr>
        <w:t>ере 500000,0 рублей в 2022 г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расходование передаваемых средств;</w:t>
      </w:r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>2. По запросу Прокуратуры Ленского района  проведена проверка по вопросу расчёта и распределения субсидии на софинансиров</w:t>
      </w:r>
      <w:r w:rsidR="00765485" w:rsidRPr="003225F8">
        <w:rPr>
          <w:rFonts w:ascii="Times New Roman" w:hAnsi="Times New Roman" w:cs="Times New Roman"/>
          <w:sz w:val="28"/>
          <w:szCs w:val="28"/>
          <w:lang w:val="ru-RU"/>
        </w:rPr>
        <w:t>ание вопросов местного значения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предоставляемой из бюджета МО «Ленский муниципальный район» бюджету МО «Урдомское»;</w:t>
      </w:r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3. 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запросу Главы МО «Ленский муниципальный район» проведена проверка в МО «Урдомское» по вопросам:</w:t>
      </w:r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 причины недофинансирования МБУ «Центр культуры и досуга МО «Урдомское» в </w:t>
      </w:r>
      <w:r w:rsidR="003225F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объеме</w:t>
      </w: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субсидии,  утвержденной решением о бюджете поселения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-установление конкретных действий (бездействий) Администрации МО «Урдомское», которые привели к недофинансированию МБУ «Центр культуры и досуга»</w:t>
      </w:r>
      <w:r w:rsidR="00E71EA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МО «Урдомское»</w:t>
      </w:r>
      <w:r w:rsidR="00E71EA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4A7E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МБУ «Центр культуры и досуга МО «Урдомское»</w:t>
      </w:r>
      <w:r w:rsidR="00E14A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3225F8" w:rsidRPr="003225F8">
        <w:rPr>
          <w:rFonts w:ascii="Times New Roman" w:hAnsi="Times New Roman" w:cs="Times New Roman"/>
          <w:sz w:val="28"/>
          <w:szCs w:val="28"/>
          <w:lang w:val="ru-RU"/>
        </w:rPr>
        <w:t>объеме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субсидии, утвержденной решением о бюджете поселения;</w:t>
      </w:r>
    </w:p>
    <w:p w:rsidR="007A2D73" w:rsidRPr="003225F8" w:rsidRDefault="00B07BA8" w:rsidP="00B23AE1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>4. Проведена проверка по запросу прокуратуры</w:t>
      </w:r>
      <w:r w:rsidR="00B23AE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о выделении специалиста для участия в проверке по обращению </w:t>
      </w:r>
      <w:r w:rsidR="00E14A7E">
        <w:rPr>
          <w:rFonts w:ascii="Times New Roman" w:hAnsi="Times New Roman" w:cs="Times New Roman"/>
          <w:sz w:val="28"/>
          <w:szCs w:val="28"/>
          <w:lang w:val="ru-RU"/>
        </w:rPr>
        <w:t xml:space="preserve">работника 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о нарушении бюджетного законодательства при расходовании средств субсидии МО «Урдомское».</w:t>
      </w:r>
    </w:p>
    <w:p w:rsidR="007A2D73" w:rsidRPr="003225F8" w:rsidRDefault="00B23AE1" w:rsidP="00B2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/>
        </w:rPr>
        <w:t>В ходе контрольных мероприятий выявлены нарушения и недостатки в финансово-бюджетной сфере  на сумму 12234,1 тыс. рублей</w:t>
      </w:r>
      <w:proofErr w:type="gramStart"/>
      <w:r w:rsidR="00B07BA8"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7A2D73" w:rsidRPr="003225F8" w:rsidRDefault="00B07BA8" w:rsidP="00B23AE1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144020091"/>
      <w:bookmarkStart w:id="2" w:name="_Hlk143932473"/>
      <w:r w:rsidRPr="003225F8">
        <w:rPr>
          <w:rFonts w:ascii="Times New Roman" w:hAnsi="Times New Roman" w:cs="Times New Roman"/>
          <w:sz w:val="28"/>
          <w:szCs w:val="28"/>
          <w:lang w:val="ru-RU"/>
        </w:rPr>
        <w:t>-Решением Совета депутатов МО «Урдомское» № 61-А от 28.12.2022 года «О бюджете муниципального образования МО «Урдомское»</w:t>
      </w:r>
      <w:bookmarkEnd w:id="1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2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необоснованно и без указания источника финансирования включено в доходную часть бюджета МО «Урдомское» в 2023 году безвозмездное поступление в виде дотации суммы 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>12269,3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тыс. руб. на финансирование бюджетного учреждения культуры от других бюджетов бюджетной системы.</w:t>
      </w:r>
    </w:p>
    <w:p w:rsidR="007A2D73" w:rsidRPr="003225F8" w:rsidRDefault="00B07BA8" w:rsidP="00B23AE1">
      <w:pPr>
        <w:spacing w:after="0" w:line="240" w:lineRule="auto"/>
        <w:ind w:firstLineChars="150" w:firstLine="4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gramStart"/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>- Должностными лицами Администрации в нарушение ч.ч. 3 и 4 ст. 69.2 БК РФ, п.п. 2.2 и 2.4</w:t>
      </w:r>
      <w:r w:rsidR="00663060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D447F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</w:t>
      </w: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>оложения о порядке формирования муниципального задания МБУ «ЦКД» и порядка финансового обеспечения выполнения этого задания (утверждено постановлением Администрации МО «Урдомское» 23.03.2016 г. № 08) вопреки ст.ст. ч.4 ст. 69.2, 6 ,30 ,86 БК РФ и решению Совета депутатов МО «Урдомское</w:t>
      </w:r>
      <w:proofErr w:type="gramEnd"/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>» № 61-А от 28.12.2022 г. «О бюджете муниципального образования МО «Урдомское» на 2023 г.:</w:t>
      </w:r>
    </w:p>
    <w:p w:rsidR="007A2D73" w:rsidRPr="003225F8" w:rsidRDefault="00B07BA8" w:rsidP="00B23A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- посредством произвольного изменения муниципального задания существенно снижены показатели в 2023 г. по сравнению с 2022 г. по 11 муниципальным услугам (работам) МБУ «ЦКД» из 15;</w:t>
      </w:r>
    </w:p>
    <w:p w:rsidR="007A2D73" w:rsidRPr="003225F8" w:rsidRDefault="00B07BA8" w:rsidP="00B23AE1">
      <w:pPr>
        <w:spacing w:after="0" w:line="240" w:lineRule="auto"/>
        <w:ind w:firstLine="28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bCs/>
          <w:sz w:val="28"/>
          <w:szCs w:val="28"/>
          <w:lang w:val="ru-RU"/>
        </w:rPr>
        <w:t>-  объем средств на финансовое обеспечение муниципального задания МО «Урдомское» доведен МБУ «ЦКД» на 2023 г. в заниженном размере в сумме 6222,6 тыс. руб. (при утвержденном представительным органом значении в бюджете МО «Урдомское» в сумме 12234,1 тыс. руб.), что не соответствует расходной части бюджета МО «Урдомское» на 2023 г.</w:t>
      </w:r>
    </w:p>
    <w:p w:rsidR="007A2D73" w:rsidRPr="003225F8" w:rsidRDefault="00B07BA8" w:rsidP="00B23AE1">
      <w:pPr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>По результатам контрольного мероприятия в отношении  должностного лица – Главы МО «Урдомское»</w:t>
      </w:r>
      <w:proofErr w:type="gramStart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25F8" w:rsidRPr="003225F8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онтрольно-счетной комиссией составлено три административных протокола  по ст. 15.15.15, 15.15.7, 19.5 </w:t>
      </w:r>
      <w:proofErr w:type="spellStart"/>
      <w:r w:rsidRPr="003225F8">
        <w:rPr>
          <w:rFonts w:ascii="Times New Roman" w:hAnsi="Times New Roman" w:cs="Times New Roman"/>
          <w:sz w:val="28"/>
          <w:szCs w:val="28"/>
          <w:lang w:val="ru-RU"/>
        </w:rPr>
        <w:t>КоАП</w:t>
      </w:r>
      <w:proofErr w:type="spellEnd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РФ которые рассмотрены в судебном порядке. </w:t>
      </w:r>
    </w:p>
    <w:p w:rsidR="007A2D73" w:rsidRPr="003225F8" w:rsidRDefault="00B07BA8" w:rsidP="00B23AE1">
      <w:pPr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По статье 15.15.7 </w:t>
      </w:r>
      <w:proofErr w:type="spellStart"/>
      <w:r w:rsidRPr="003225F8">
        <w:rPr>
          <w:rFonts w:ascii="Times New Roman" w:hAnsi="Times New Roman" w:cs="Times New Roman"/>
          <w:sz w:val="28"/>
          <w:szCs w:val="28"/>
          <w:lang w:val="ru-RU"/>
        </w:rPr>
        <w:t>КоАП</w:t>
      </w:r>
      <w:proofErr w:type="spellEnd"/>
      <w:r w:rsidRPr="003225F8">
        <w:rPr>
          <w:rFonts w:ascii="Times New Roman" w:hAnsi="Times New Roman" w:cs="Times New Roman"/>
          <w:sz w:val="28"/>
          <w:szCs w:val="28"/>
          <w:lang w:val="ru-RU"/>
        </w:rPr>
        <w:t xml:space="preserve"> РФ </w:t>
      </w:r>
      <w:r w:rsidR="003225F8" w:rsidRPr="003225F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3225F8">
        <w:rPr>
          <w:rFonts w:ascii="Times New Roman" w:hAnsi="Times New Roman" w:cs="Times New Roman"/>
          <w:sz w:val="28"/>
          <w:szCs w:val="28"/>
          <w:lang w:val="ru-RU"/>
        </w:rPr>
        <w:t>ировым судом Вилегодского судебного района  назначено административное наказание в виде штрафа.</w:t>
      </w:r>
    </w:p>
    <w:p w:rsidR="007A2D73" w:rsidRPr="003225F8" w:rsidRDefault="00663060" w:rsidP="00663060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контрольному </w:t>
      </w:r>
      <w:proofErr w:type="gramStart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мероприятию</w:t>
      </w:r>
      <w:proofErr w:type="gramEnd"/>
      <w:r w:rsidR="00B07BA8"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проводимому по требованию прокуратуры Ленского района «О выделении специалиста» меры реагирования принимались прокуратурой Ленского района.</w:t>
      </w:r>
    </w:p>
    <w:p w:rsidR="007A2D73" w:rsidRPr="003225F8" w:rsidRDefault="007A2D73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D73" w:rsidRPr="003225F8" w:rsidRDefault="00B07BA8" w:rsidP="00B23AE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/>
        </w:rPr>
        <w:lastRenderedPageBreak/>
        <w:t>В 2024 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заключённых соглашений о сотрудничестве и взаимодействии.</w:t>
      </w:r>
    </w:p>
    <w:p w:rsidR="00663060" w:rsidRDefault="00663060" w:rsidP="00663060">
      <w:pPr>
        <w:pStyle w:val="ae"/>
        <w:spacing w:before="240" w:after="240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                      </w:t>
      </w:r>
      <w:r w:rsidR="00E71EA3">
        <w:rPr>
          <w:rFonts w:ascii="Times New Roman" w:hAnsi="Times New Roman" w:cs="Times New Roman"/>
          <w:b/>
          <w:sz w:val="28"/>
          <w:szCs w:val="28"/>
          <w:lang w:val="ru-RU" w:eastAsia="ru-RU"/>
        </w:rPr>
        <w:t>4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B07BA8" w:rsidRPr="00663060">
        <w:rPr>
          <w:rFonts w:ascii="Times New Roman" w:hAnsi="Times New Roman" w:cs="Times New Roman"/>
          <w:b/>
          <w:sz w:val="28"/>
          <w:szCs w:val="28"/>
          <w:lang w:val="ru-RU" w:eastAsia="ru-RU"/>
        </w:rPr>
        <w:t>Заключительные положения</w:t>
      </w:r>
    </w:p>
    <w:p w:rsidR="007A2D73" w:rsidRPr="00663060" w:rsidRDefault="00663060" w:rsidP="00663060">
      <w:pPr>
        <w:pStyle w:val="ae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Деятельность Контрольно–счётной комиссии МО «Ленский муниципальный район»  строится на принципах законности, объективности, эффективности, ответственности и со</w:t>
      </w:r>
      <w:r w:rsidR="00E71EA3">
        <w:rPr>
          <w:rFonts w:ascii="Times New Roman" w:hAnsi="Times New Roman" w:cs="Times New Roman"/>
          <w:sz w:val="28"/>
          <w:szCs w:val="28"/>
          <w:lang w:val="ru-RU" w:eastAsia="ru-RU"/>
        </w:rPr>
        <w:t>блюдении профессиональной этики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будет продолжена и направлена </w:t>
      </w:r>
      <w:proofErr w:type="gramStart"/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на</w:t>
      </w:r>
      <w:proofErr w:type="gramEnd"/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осуществление контроля за расходованием средств бюджета МО «Ленский муниципальный район» на начальной стадии, а именно при финансово-экономической экспертизе п</w:t>
      </w:r>
      <w:r w:rsidR="00E71EA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роектов правовых актов  в </w:t>
      </w:r>
      <w:proofErr w:type="gramStart"/>
      <w:r w:rsidR="00E71EA3">
        <w:rPr>
          <w:rFonts w:ascii="Times New Roman" w:hAnsi="Times New Roman" w:cs="Times New Roman"/>
          <w:sz w:val="28"/>
          <w:szCs w:val="28"/>
          <w:lang w:val="ru-RU" w:eastAsia="ru-RU"/>
        </w:rPr>
        <w:t>части</w:t>
      </w:r>
      <w:proofErr w:type="gramEnd"/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касающейся расходных обязательств МО «Ленский муниципальный район»;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предотвращения возникновения случаев нецелевого и неэффективного использования средств бюджета МО «Ленский муниципальный район»;</w:t>
      </w:r>
    </w:p>
    <w:p w:rsidR="007A2D73" w:rsidRPr="003225F8" w:rsidRDefault="00663060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усиление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/>
        </w:rPr>
        <w:t>контроля</w:t>
      </w:r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proofErr w:type="gramEnd"/>
      <w:r w:rsidR="00B07BA8" w:rsidRPr="003225F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принятием более действенных мер по выполнению представлений контрольно-счетной комиссии и устранением выявленных нарушений;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работу с правоохранительными органами в рамках соглашений о сотрудничестве;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hAnsi="Times New Roman" w:cs="Times New Roman"/>
          <w:sz w:val="28"/>
          <w:szCs w:val="28"/>
          <w:lang w:val="ru-RU" w:eastAsia="ru-RU"/>
        </w:rPr>
        <w:t>- повышение уровня квалификации специалистов Контрольно–счетной комиссии.</w:t>
      </w:r>
      <w:r w:rsidRPr="003225F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A2D73" w:rsidRPr="003225F8" w:rsidRDefault="00B07BA8" w:rsidP="00663060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 работы, отчёты о деятельности, информация о структуре, а также другая информация о деятельности контрольно-счётной комиссии  опубликованы на официальном сайте муниципального образования в сети Интернет.</w:t>
      </w:r>
    </w:p>
    <w:p w:rsidR="007A2D73" w:rsidRPr="003225F8" w:rsidRDefault="007A2D73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A2D73" w:rsidRPr="003225F8" w:rsidRDefault="007A2D73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A2D73" w:rsidRPr="003225F8" w:rsidRDefault="00663060" w:rsidP="003225F8">
      <w:pPr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proofErr w:type="spellStart"/>
      <w:r w:rsidR="00B07BA8" w:rsidRPr="003225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proofErr w:type="spellEnd"/>
      <w:r w:rsidR="00B07BA8" w:rsidRPr="00322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proofErr w:type="spellStart"/>
      <w:r w:rsidR="00B07BA8" w:rsidRPr="003225F8">
        <w:rPr>
          <w:rFonts w:ascii="Times New Roman" w:eastAsia="Times New Roman" w:hAnsi="Times New Roman" w:cs="Times New Roman"/>
          <w:sz w:val="28"/>
          <w:szCs w:val="28"/>
          <w:lang w:eastAsia="ru-RU"/>
        </w:rPr>
        <w:t>Л.Ю.Борисова</w:t>
      </w:r>
      <w:proofErr w:type="spellEnd"/>
    </w:p>
    <w:sectPr w:rsidR="007A2D73" w:rsidRPr="003225F8" w:rsidSect="007A2D7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A4" w:rsidRDefault="005501A4">
      <w:pPr>
        <w:spacing w:line="240" w:lineRule="auto"/>
      </w:pPr>
      <w:r>
        <w:separator/>
      </w:r>
    </w:p>
  </w:endnote>
  <w:endnote w:type="continuationSeparator" w:id="0">
    <w:p w:rsidR="005501A4" w:rsidRDefault="00550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A4" w:rsidRDefault="005501A4">
      <w:pPr>
        <w:spacing w:after="0"/>
      </w:pPr>
      <w:r>
        <w:separator/>
      </w:r>
    </w:p>
  </w:footnote>
  <w:footnote w:type="continuationSeparator" w:id="0">
    <w:p w:rsidR="005501A4" w:rsidRDefault="005501A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3585F"/>
    <w:multiLevelType w:val="multilevel"/>
    <w:tmpl w:val="4723585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56241"/>
    <w:rsid w:val="00005F6F"/>
    <w:rsid w:val="00011CBB"/>
    <w:rsid w:val="00042017"/>
    <w:rsid w:val="0004376D"/>
    <w:rsid w:val="00045F06"/>
    <w:rsid w:val="00063DF4"/>
    <w:rsid w:val="00070DE2"/>
    <w:rsid w:val="00086AD6"/>
    <w:rsid w:val="000A58B6"/>
    <w:rsid w:val="000B4B7A"/>
    <w:rsid w:val="000D252E"/>
    <w:rsid w:val="000F1FF1"/>
    <w:rsid w:val="00100D11"/>
    <w:rsid w:val="001113CF"/>
    <w:rsid w:val="00115405"/>
    <w:rsid w:val="001169F3"/>
    <w:rsid w:val="001241C8"/>
    <w:rsid w:val="001342DE"/>
    <w:rsid w:val="001841C4"/>
    <w:rsid w:val="001A6281"/>
    <w:rsid w:val="001B40E7"/>
    <w:rsid w:val="001B5DBF"/>
    <w:rsid w:val="001B7E92"/>
    <w:rsid w:val="001D43A3"/>
    <w:rsid w:val="001D6A82"/>
    <w:rsid w:val="001E2C67"/>
    <w:rsid w:val="001E3EC8"/>
    <w:rsid w:val="001E4A74"/>
    <w:rsid w:val="001F2A41"/>
    <w:rsid w:val="001F7D88"/>
    <w:rsid w:val="00204E12"/>
    <w:rsid w:val="002165E1"/>
    <w:rsid w:val="00242F17"/>
    <w:rsid w:val="00246AF4"/>
    <w:rsid w:val="002544B9"/>
    <w:rsid w:val="00256241"/>
    <w:rsid w:val="0027630D"/>
    <w:rsid w:val="002B3A2E"/>
    <w:rsid w:val="002C64D8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225F8"/>
    <w:rsid w:val="00325B9D"/>
    <w:rsid w:val="00330856"/>
    <w:rsid w:val="00341CC6"/>
    <w:rsid w:val="0034541D"/>
    <w:rsid w:val="00356AE8"/>
    <w:rsid w:val="00372074"/>
    <w:rsid w:val="003765C3"/>
    <w:rsid w:val="00380FD5"/>
    <w:rsid w:val="003848A1"/>
    <w:rsid w:val="003865A3"/>
    <w:rsid w:val="00393FD6"/>
    <w:rsid w:val="00397997"/>
    <w:rsid w:val="003B162D"/>
    <w:rsid w:val="003B68B1"/>
    <w:rsid w:val="003C7743"/>
    <w:rsid w:val="003D7A0A"/>
    <w:rsid w:val="003E7499"/>
    <w:rsid w:val="003F1CD0"/>
    <w:rsid w:val="00401967"/>
    <w:rsid w:val="0040533B"/>
    <w:rsid w:val="004302B7"/>
    <w:rsid w:val="00433833"/>
    <w:rsid w:val="00435765"/>
    <w:rsid w:val="00465AA6"/>
    <w:rsid w:val="0046607A"/>
    <w:rsid w:val="004749FD"/>
    <w:rsid w:val="004A0D0A"/>
    <w:rsid w:val="004B02B4"/>
    <w:rsid w:val="004C0E1E"/>
    <w:rsid w:val="004D5AB1"/>
    <w:rsid w:val="004E08A0"/>
    <w:rsid w:val="004E26B8"/>
    <w:rsid w:val="004E3CC1"/>
    <w:rsid w:val="00503B09"/>
    <w:rsid w:val="00505B4B"/>
    <w:rsid w:val="0051614C"/>
    <w:rsid w:val="005501A4"/>
    <w:rsid w:val="00562CB4"/>
    <w:rsid w:val="00564808"/>
    <w:rsid w:val="00566D02"/>
    <w:rsid w:val="0058672E"/>
    <w:rsid w:val="005A5D79"/>
    <w:rsid w:val="005B32C6"/>
    <w:rsid w:val="005B4A58"/>
    <w:rsid w:val="005B5256"/>
    <w:rsid w:val="005D4475"/>
    <w:rsid w:val="005D4622"/>
    <w:rsid w:val="005F29AC"/>
    <w:rsid w:val="005F2A3F"/>
    <w:rsid w:val="0060793F"/>
    <w:rsid w:val="00613784"/>
    <w:rsid w:val="00632124"/>
    <w:rsid w:val="006425D2"/>
    <w:rsid w:val="00651C20"/>
    <w:rsid w:val="00652D0A"/>
    <w:rsid w:val="006610A3"/>
    <w:rsid w:val="00663060"/>
    <w:rsid w:val="006674A5"/>
    <w:rsid w:val="006A27AB"/>
    <w:rsid w:val="006B09E7"/>
    <w:rsid w:val="006B5563"/>
    <w:rsid w:val="006C62B2"/>
    <w:rsid w:val="006D0F6F"/>
    <w:rsid w:val="006E1A47"/>
    <w:rsid w:val="00704CB4"/>
    <w:rsid w:val="00707F6B"/>
    <w:rsid w:val="00710B58"/>
    <w:rsid w:val="00710B93"/>
    <w:rsid w:val="00713CB5"/>
    <w:rsid w:val="00730B09"/>
    <w:rsid w:val="0073236F"/>
    <w:rsid w:val="007404AF"/>
    <w:rsid w:val="0074364A"/>
    <w:rsid w:val="00750413"/>
    <w:rsid w:val="0075138C"/>
    <w:rsid w:val="007527AD"/>
    <w:rsid w:val="00752A4E"/>
    <w:rsid w:val="00754B26"/>
    <w:rsid w:val="00757745"/>
    <w:rsid w:val="00765485"/>
    <w:rsid w:val="00770423"/>
    <w:rsid w:val="00774C2D"/>
    <w:rsid w:val="007763AD"/>
    <w:rsid w:val="00777E31"/>
    <w:rsid w:val="00782910"/>
    <w:rsid w:val="00787B48"/>
    <w:rsid w:val="0079319E"/>
    <w:rsid w:val="00796F3C"/>
    <w:rsid w:val="007A09A0"/>
    <w:rsid w:val="007A2D73"/>
    <w:rsid w:val="007A67E6"/>
    <w:rsid w:val="007A69B1"/>
    <w:rsid w:val="007B566B"/>
    <w:rsid w:val="007C32BE"/>
    <w:rsid w:val="007C3FD2"/>
    <w:rsid w:val="007E4EFC"/>
    <w:rsid w:val="007E617A"/>
    <w:rsid w:val="00816AD6"/>
    <w:rsid w:val="00832049"/>
    <w:rsid w:val="00832CBD"/>
    <w:rsid w:val="00845127"/>
    <w:rsid w:val="00857109"/>
    <w:rsid w:val="00864C3B"/>
    <w:rsid w:val="00865ABA"/>
    <w:rsid w:val="00866140"/>
    <w:rsid w:val="00880A4A"/>
    <w:rsid w:val="00880CB8"/>
    <w:rsid w:val="00894FB6"/>
    <w:rsid w:val="008A1298"/>
    <w:rsid w:val="008B27A9"/>
    <w:rsid w:val="008B3750"/>
    <w:rsid w:val="008B55C4"/>
    <w:rsid w:val="008D3055"/>
    <w:rsid w:val="008D34F8"/>
    <w:rsid w:val="00901676"/>
    <w:rsid w:val="00913341"/>
    <w:rsid w:val="00920410"/>
    <w:rsid w:val="00920837"/>
    <w:rsid w:val="009235D3"/>
    <w:rsid w:val="0094418A"/>
    <w:rsid w:val="00944945"/>
    <w:rsid w:val="009506DA"/>
    <w:rsid w:val="00967C5D"/>
    <w:rsid w:val="009727EA"/>
    <w:rsid w:val="009827E8"/>
    <w:rsid w:val="00994E6D"/>
    <w:rsid w:val="009A7002"/>
    <w:rsid w:val="009B73F7"/>
    <w:rsid w:val="009C22F0"/>
    <w:rsid w:val="009C6685"/>
    <w:rsid w:val="009C6ADB"/>
    <w:rsid w:val="009E26EE"/>
    <w:rsid w:val="009F7933"/>
    <w:rsid w:val="00A0042A"/>
    <w:rsid w:val="00A02873"/>
    <w:rsid w:val="00A04AA8"/>
    <w:rsid w:val="00A12BC9"/>
    <w:rsid w:val="00A14119"/>
    <w:rsid w:val="00A14FAB"/>
    <w:rsid w:val="00A1667B"/>
    <w:rsid w:val="00A427CE"/>
    <w:rsid w:val="00A6076F"/>
    <w:rsid w:val="00A66F11"/>
    <w:rsid w:val="00A7102C"/>
    <w:rsid w:val="00A751AE"/>
    <w:rsid w:val="00A93E13"/>
    <w:rsid w:val="00AA34EB"/>
    <w:rsid w:val="00AA7746"/>
    <w:rsid w:val="00AC5B9C"/>
    <w:rsid w:val="00AD50F1"/>
    <w:rsid w:val="00AF56C6"/>
    <w:rsid w:val="00B01E72"/>
    <w:rsid w:val="00B04B8C"/>
    <w:rsid w:val="00B05C6F"/>
    <w:rsid w:val="00B07BA8"/>
    <w:rsid w:val="00B11F8F"/>
    <w:rsid w:val="00B23AE1"/>
    <w:rsid w:val="00B34897"/>
    <w:rsid w:val="00B53743"/>
    <w:rsid w:val="00B60193"/>
    <w:rsid w:val="00B66DCB"/>
    <w:rsid w:val="00B72197"/>
    <w:rsid w:val="00B75DEF"/>
    <w:rsid w:val="00B850C4"/>
    <w:rsid w:val="00BA07E5"/>
    <w:rsid w:val="00BA1983"/>
    <w:rsid w:val="00BA2F1D"/>
    <w:rsid w:val="00BA4AE4"/>
    <w:rsid w:val="00BB600E"/>
    <w:rsid w:val="00BF4ABF"/>
    <w:rsid w:val="00C06AF7"/>
    <w:rsid w:val="00C203E7"/>
    <w:rsid w:val="00C50AA0"/>
    <w:rsid w:val="00C63EE8"/>
    <w:rsid w:val="00C65264"/>
    <w:rsid w:val="00C70937"/>
    <w:rsid w:val="00C7774E"/>
    <w:rsid w:val="00C97D7A"/>
    <w:rsid w:val="00CA18CB"/>
    <w:rsid w:val="00CA3C1D"/>
    <w:rsid w:val="00CB54C6"/>
    <w:rsid w:val="00CC2415"/>
    <w:rsid w:val="00CC2C1A"/>
    <w:rsid w:val="00CE231C"/>
    <w:rsid w:val="00CF7378"/>
    <w:rsid w:val="00D15940"/>
    <w:rsid w:val="00D2199B"/>
    <w:rsid w:val="00D225D4"/>
    <w:rsid w:val="00D33AD0"/>
    <w:rsid w:val="00D447F7"/>
    <w:rsid w:val="00D4542B"/>
    <w:rsid w:val="00D51E81"/>
    <w:rsid w:val="00D702BB"/>
    <w:rsid w:val="00D70658"/>
    <w:rsid w:val="00D76C76"/>
    <w:rsid w:val="00D85591"/>
    <w:rsid w:val="00D95668"/>
    <w:rsid w:val="00D95A5A"/>
    <w:rsid w:val="00D95DD3"/>
    <w:rsid w:val="00D96A9E"/>
    <w:rsid w:val="00DA5999"/>
    <w:rsid w:val="00DB10BC"/>
    <w:rsid w:val="00DB1FD6"/>
    <w:rsid w:val="00DB202E"/>
    <w:rsid w:val="00DC771C"/>
    <w:rsid w:val="00DE7370"/>
    <w:rsid w:val="00DF544E"/>
    <w:rsid w:val="00E00A2A"/>
    <w:rsid w:val="00E124E1"/>
    <w:rsid w:val="00E14A7E"/>
    <w:rsid w:val="00E16CC9"/>
    <w:rsid w:val="00E243D0"/>
    <w:rsid w:val="00E259A1"/>
    <w:rsid w:val="00E33856"/>
    <w:rsid w:val="00E35316"/>
    <w:rsid w:val="00E456C6"/>
    <w:rsid w:val="00E53EC5"/>
    <w:rsid w:val="00E63E33"/>
    <w:rsid w:val="00E666FF"/>
    <w:rsid w:val="00E71EA3"/>
    <w:rsid w:val="00F0434A"/>
    <w:rsid w:val="00F06F00"/>
    <w:rsid w:val="00F1600A"/>
    <w:rsid w:val="00F25886"/>
    <w:rsid w:val="00F2631F"/>
    <w:rsid w:val="00F32B7D"/>
    <w:rsid w:val="00F435C4"/>
    <w:rsid w:val="00F542DE"/>
    <w:rsid w:val="00F734B3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  <w:rsid w:val="03111A34"/>
    <w:rsid w:val="0DB00BC5"/>
    <w:rsid w:val="10792DAF"/>
    <w:rsid w:val="17E61A44"/>
    <w:rsid w:val="1DC03C8F"/>
    <w:rsid w:val="229B0A81"/>
    <w:rsid w:val="2FA06292"/>
    <w:rsid w:val="303129C9"/>
    <w:rsid w:val="43F05973"/>
    <w:rsid w:val="479579B3"/>
    <w:rsid w:val="4972429B"/>
    <w:rsid w:val="4DD555E7"/>
    <w:rsid w:val="5705702E"/>
    <w:rsid w:val="675F497A"/>
    <w:rsid w:val="6A971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73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A2D73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D7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D7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D7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D7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D73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D73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A2D73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D73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7A2D73"/>
    <w:rPr>
      <w:b/>
      <w:bCs/>
      <w:i/>
      <w:iCs/>
      <w:spacing w:val="10"/>
    </w:rPr>
  </w:style>
  <w:style w:type="character" w:styleId="a4">
    <w:name w:val="Hyperlink"/>
    <w:basedOn w:val="a0"/>
    <w:uiPriority w:val="99"/>
    <w:unhideWhenUsed/>
    <w:qFormat/>
    <w:rsid w:val="007A2D73"/>
    <w:rPr>
      <w:color w:val="0000FF"/>
      <w:u w:val="single"/>
    </w:rPr>
  </w:style>
  <w:style w:type="character" w:styleId="a5">
    <w:name w:val="Strong"/>
    <w:uiPriority w:val="22"/>
    <w:qFormat/>
    <w:rsid w:val="007A2D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7A2D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7A2D73"/>
    <w:pPr>
      <w:spacing w:after="300" w:line="240" w:lineRule="auto"/>
      <w:contextualSpacing/>
    </w:pPr>
    <w:rPr>
      <w:smallCaps/>
      <w:sz w:val="52"/>
      <w:szCs w:val="52"/>
    </w:rPr>
  </w:style>
  <w:style w:type="paragraph" w:styleId="aa">
    <w:name w:val="Normal (Web)"/>
    <w:basedOn w:val="a"/>
    <w:qFormat/>
    <w:rsid w:val="007A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7A2D73"/>
    <w:rPr>
      <w:i/>
      <w:iCs/>
      <w:smallCaps/>
      <w:spacing w:val="10"/>
      <w:sz w:val="28"/>
      <w:szCs w:val="28"/>
    </w:rPr>
  </w:style>
  <w:style w:type="table" w:styleId="ad">
    <w:name w:val="Table Grid"/>
    <w:basedOn w:val="a1"/>
    <w:uiPriority w:val="59"/>
    <w:qFormat/>
    <w:rsid w:val="007A2D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basedOn w:val="a"/>
    <w:uiPriority w:val="1"/>
    <w:qFormat/>
    <w:rsid w:val="007A2D73"/>
    <w:pPr>
      <w:spacing w:after="0" w:line="240" w:lineRule="auto"/>
    </w:pPr>
  </w:style>
  <w:style w:type="paragraph" w:customStyle="1" w:styleId="ConsPlusNormal">
    <w:name w:val="ConsPlusNormal"/>
    <w:uiPriority w:val="99"/>
    <w:qFormat/>
    <w:rsid w:val="007A2D7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val="en-US" w:eastAsia="ar-SA" w:bidi="en-US"/>
    </w:rPr>
  </w:style>
  <w:style w:type="character" w:customStyle="1" w:styleId="10">
    <w:name w:val="Заголовок 1 Знак"/>
    <w:basedOn w:val="a0"/>
    <w:link w:val="1"/>
    <w:uiPriority w:val="9"/>
    <w:qFormat/>
    <w:rsid w:val="007A2D73"/>
    <w:rPr>
      <w:smallCaps/>
      <w:spacing w:val="5"/>
      <w:sz w:val="36"/>
      <w:szCs w:val="36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7A2D73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A2D73"/>
    <w:pPr>
      <w:autoSpaceDE w:val="0"/>
      <w:autoSpaceDN w:val="0"/>
      <w:adjustRightInd w:val="0"/>
    </w:pPr>
    <w:rPr>
      <w:rFonts w:eastAsiaTheme="majorEastAsia"/>
      <w:color w:val="000000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qFormat/>
    <w:rsid w:val="007A2D73"/>
    <w:rPr>
      <w:b/>
      <w:bCs/>
      <w:color w:val="7F7F7F" w:themeColor="text1" w:themeTint="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A2D73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7A2D73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7A2D73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A2D73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7A2D73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A2D73"/>
    <w:rPr>
      <w:b/>
      <w:bCs/>
      <w:i/>
      <w:iCs/>
      <w:color w:val="5A5A5A" w:themeColor="text1" w:themeTint="A5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7A2D73"/>
    <w:rPr>
      <w:b/>
      <w:bCs/>
      <w:i/>
      <w:iCs/>
      <w:color w:val="7F7F7F" w:themeColor="text1" w:themeTint="80"/>
      <w:sz w:val="18"/>
      <w:szCs w:val="18"/>
    </w:rPr>
  </w:style>
  <w:style w:type="character" w:customStyle="1" w:styleId="a9">
    <w:name w:val="Название Знак"/>
    <w:basedOn w:val="a0"/>
    <w:link w:val="a8"/>
    <w:uiPriority w:val="10"/>
    <w:qFormat/>
    <w:rsid w:val="007A2D73"/>
    <w:rPr>
      <w:smallCaps/>
      <w:sz w:val="52"/>
      <w:szCs w:val="52"/>
    </w:rPr>
  </w:style>
  <w:style w:type="character" w:customStyle="1" w:styleId="ac">
    <w:name w:val="Подзаголовок Знак"/>
    <w:basedOn w:val="a0"/>
    <w:link w:val="ab"/>
    <w:uiPriority w:val="11"/>
    <w:qFormat/>
    <w:rsid w:val="007A2D73"/>
    <w:rPr>
      <w:i/>
      <w:iCs/>
      <w:smallCaps/>
      <w:spacing w:val="10"/>
      <w:sz w:val="28"/>
      <w:szCs w:val="28"/>
    </w:rPr>
  </w:style>
  <w:style w:type="paragraph" w:styleId="af">
    <w:name w:val="List Paragraph"/>
    <w:basedOn w:val="a"/>
    <w:uiPriority w:val="34"/>
    <w:qFormat/>
    <w:rsid w:val="007A2D7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A2D73"/>
    <w:rPr>
      <w:i/>
      <w:iCs/>
    </w:rPr>
  </w:style>
  <w:style w:type="character" w:customStyle="1" w:styleId="22">
    <w:name w:val="Цитата 2 Знак"/>
    <w:basedOn w:val="a0"/>
    <w:link w:val="21"/>
    <w:uiPriority w:val="29"/>
    <w:qFormat/>
    <w:rsid w:val="007A2D73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7A2D7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1">
    <w:name w:val="Выделенная цитата Знак"/>
    <w:basedOn w:val="a0"/>
    <w:link w:val="af0"/>
    <w:uiPriority w:val="30"/>
    <w:qFormat/>
    <w:rsid w:val="007A2D73"/>
    <w:rPr>
      <w:i/>
      <w:iCs/>
    </w:rPr>
  </w:style>
  <w:style w:type="character" w:customStyle="1" w:styleId="11">
    <w:name w:val="Слабое выделение1"/>
    <w:uiPriority w:val="19"/>
    <w:qFormat/>
    <w:rsid w:val="007A2D73"/>
    <w:rPr>
      <w:i/>
      <w:iCs/>
    </w:rPr>
  </w:style>
  <w:style w:type="character" w:customStyle="1" w:styleId="12">
    <w:name w:val="Сильное выделение1"/>
    <w:uiPriority w:val="21"/>
    <w:qFormat/>
    <w:rsid w:val="007A2D73"/>
    <w:rPr>
      <w:b/>
      <w:bCs/>
      <w:i/>
      <w:iCs/>
    </w:rPr>
  </w:style>
  <w:style w:type="character" w:customStyle="1" w:styleId="13">
    <w:name w:val="Слабая ссылка1"/>
    <w:basedOn w:val="a0"/>
    <w:uiPriority w:val="31"/>
    <w:qFormat/>
    <w:rsid w:val="007A2D73"/>
    <w:rPr>
      <w:smallCaps/>
    </w:rPr>
  </w:style>
  <w:style w:type="character" w:customStyle="1" w:styleId="14">
    <w:name w:val="Сильная ссылка1"/>
    <w:uiPriority w:val="32"/>
    <w:qFormat/>
    <w:rsid w:val="007A2D73"/>
    <w:rPr>
      <w:b/>
      <w:bCs/>
      <w:smallCaps/>
    </w:rPr>
  </w:style>
  <w:style w:type="character" w:customStyle="1" w:styleId="15">
    <w:name w:val="Название книги1"/>
    <w:basedOn w:val="a0"/>
    <w:uiPriority w:val="33"/>
    <w:qFormat/>
    <w:rsid w:val="007A2D73"/>
    <w:rPr>
      <w:i/>
      <w:iCs/>
      <w:smallCaps/>
      <w:spacing w:val="5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rsid w:val="007A2D73"/>
    <w:pPr>
      <w:outlineLvl w:val="9"/>
    </w:pPr>
  </w:style>
  <w:style w:type="character" w:customStyle="1" w:styleId="small">
    <w:name w:val="small"/>
    <w:basedOn w:val="a0"/>
    <w:qFormat/>
    <w:rsid w:val="007A2D73"/>
  </w:style>
  <w:style w:type="character" w:customStyle="1" w:styleId="matches">
    <w:name w:val="matches"/>
    <w:basedOn w:val="a0"/>
    <w:qFormat/>
    <w:rsid w:val="007A2D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7B12-C8DE-4DFE-A4C4-C70DBCAB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7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Королькова АВ</cp:lastModifiedBy>
  <cp:revision>6</cp:revision>
  <cp:lastPrinted>2024-03-11T13:10:00Z</cp:lastPrinted>
  <dcterms:created xsi:type="dcterms:W3CDTF">2022-04-28T12:45:00Z</dcterms:created>
  <dcterms:modified xsi:type="dcterms:W3CDTF">2024-03-26T13:40:00Z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E16902721D7A43BBBD25D97CEAC4173C_12</vt:lpwstr>
  </property>
</Properties>
</file>