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43450F">
        <w:trPr>
          <w:trHeight w:val="80"/>
          <w:jc w:val="right"/>
        </w:trPr>
        <w:tc>
          <w:tcPr>
            <w:tcW w:w="4786" w:type="dxa"/>
          </w:tcPr>
          <w:p w:rsidR="0043450F" w:rsidRDefault="00A515CA" w:rsidP="0043450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A13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43450F" w:rsidRDefault="0043450F" w:rsidP="0043450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A515CA" w:rsidRPr="008A13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A515CA" w:rsidRPr="008A1380" w:rsidRDefault="00A515CA" w:rsidP="0043450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A13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района </w:t>
            </w:r>
          </w:p>
          <w:p w:rsidR="0024349D" w:rsidRPr="0043450F" w:rsidRDefault="00EC3770" w:rsidP="0043450F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EC3770">
              <w:t xml:space="preserve">от 19 июня </w:t>
            </w:r>
            <w:r w:rsidR="0043450F" w:rsidRPr="0043450F">
              <w:t>2025 г. № 159</w:t>
            </w:r>
          </w:p>
        </w:tc>
      </w:tr>
    </w:tbl>
    <w:p w:rsidR="0043450F" w:rsidRDefault="0043450F" w:rsidP="0043450F">
      <w:pPr>
        <w:spacing w:after="0"/>
        <w:jc w:val="center"/>
        <w:rPr>
          <w:b/>
        </w:rPr>
      </w:pPr>
    </w:p>
    <w:p w:rsidR="001C5F37" w:rsidRDefault="00A93DD0" w:rsidP="0043450F">
      <w:pPr>
        <w:spacing w:after="0"/>
        <w:jc w:val="center"/>
        <w:rPr>
          <w:sz w:val="28"/>
          <w:szCs w:val="28"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  <w:bookmarkStart w:id="0" w:name="_Toc106773689"/>
    </w:p>
    <w:p w:rsidR="000A728B" w:rsidRDefault="000A728B" w:rsidP="0043450F">
      <w:pPr>
        <w:spacing w:after="0"/>
        <w:rPr>
          <w:b/>
        </w:rPr>
      </w:pPr>
    </w:p>
    <w:p w:rsidR="000A728B" w:rsidRPr="000A728B" w:rsidRDefault="000A728B" w:rsidP="0043450F">
      <w:pPr>
        <w:spacing w:after="0"/>
        <w:jc w:val="center"/>
        <w:rPr>
          <w:b/>
        </w:rPr>
      </w:pPr>
      <w:r w:rsidRPr="000A728B">
        <w:rPr>
          <w:b/>
        </w:rPr>
        <w:t>1. «Общие сведения»</w:t>
      </w:r>
    </w:p>
    <w:p w:rsidR="000A728B" w:rsidRPr="000A728B" w:rsidRDefault="000A728B" w:rsidP="0043450F">
      <w:pPr>
        <w:ind w:right="-25" w:firstLine="851"/>
        <w:rPr>
          <w:bCs/>
        </w:rPr>
      </w:pPr>
      <w:r w:rsidRPr="000A728B">
        <w:rPr>
          <w:b/>
          <w:u w:val="single"/>
        </w:rPr>
        <w:t>1.1 Предмет выполнения работ:</w:t>
      </w:r>
      <w:r w:rsidRPr="000A728B">
        <w:rPr>
          <w:bCs/>
        </w:rPr>
        <w:t xml:space="preserve"> выполнение работы по установке светофоров Т7 в с. Козьмино и п. Сойга Ленского района Архангельской области </w:t>
      </w:r>
    </w:p>
    <w:p w:rsidR="000A728B" w:rsidRPr="000A728B" w:rsidRDefault="000A728B" w:rsidP="0043450F">
      <w:pPr>
        <w:ind w:right="-25" w:firstLine="851"/>
      </w:pPr>
      <w:r w:rsidRPr="000A728B">
        <w:rPr>
          <w:b/>
          <w:u w:val="single"/>
        </w:rPr>
        <w:t xml:space="preserve">1.2. Источник финансирования: </w:t>
      </w:r>
      <w:r w:rsidRPr="000A728B">
        <w:t xml:space="preserve">средства бюджета Ленского муниципального района, сформированных из субсидии на </w:t>
      </w:r>
      <w:proofErr w:type="spellStart"/>
      <w:r w:rsidRPr="000A728B">
        <w:t>софинансирование</w:t>
      </w:r>
      <w:proofErr w:type="spellEnd"/>
      <w:r w:rsidRPr="000A728B">
        <w:t xml:space="preserve"> мероприятий по модернизации нерегулируемых пешеходных переходов, светофорных объектов и установке светофорных объектов, пешеходных ограждений на автомобильных дорогах общего пользования местного значения в 2025 году (постановление правительства Архангельской области от 31 мая 2025 года №274-пп) и средств бюджета администрации МО «Ленский муниципальный район» (постановление администрации МО «Ленский муниципальный район» от 25 июля 2016 года №422-н «Об утверждении муниципальной программы «Ремонт и содержание автомобильных дорог, находящихся в собственности МО «Ленский муниципальный район»).</w:t>
      </w:r>
    </w:p>
    <w:p w:rsidR="000A728B" w:rsidRPr="000A728B" w:rsidRDefault="000A728B" w:rsidP="0043450F">
      <w:pPr>
        <w:ind w:right="-25" w:firstLine="851"/>
      </w:pPr>
      <w:r w:rsidRPr="000A728B">
        <w:rPr>
          <w:b/>
          <w:bCs/>
          <w:u w:val="single"/>
        </w:rPr>
        <w:t xml:space="preserve">1.3. Место выполнения работ </w:t>
      </w:r>
      <w:r w:rsidRPr="000A728B">
        <w:rPr>
          <w:b/>
          <w:bCs/>
        </w:rPr>
        <w:t xml:space="preserve">– </w:t>
      </w:r>
      <w:r w:rsidRPr="000A728B">
        <w:rPr>
          <w:bCs/>
        </w:rPr>
        <w:t>улица Первомайская,35</w:t>
      </w:r>
      <w:r w:rsidRPr="000A728B">
        <w:rPr>
          <w:b/>
          <w:bCs/>
        </w:rPr>
        <w:t xml:space="preserve"> </w:t>
      </w:r>
      <w:r w:rsidRPr="000A728B">
        <w:rPr>
          <w:bCs/>
        </w:rPr>
        <w:t>в с. Козьмино, улица Центральная,6 п. Сойга</w:t>
      </w:r>
      <w:r w:rsidRPr="000A728B">
        <w:rPr>
          <w:b/>
          <w:bCs/>
        </w:rPr>
        <w:t xml:space="preserve"> </w:t>
      </w:r>
      <w:r w:rsidRPr="000A728B">
        <w:rPr>
          <w:bCs/>
        </w:rPr>
        <w:t>Ленского района Архангельской области Российской Федерации (у пешеходных переходов, напротив школ).</w:t>
      </w:r>
    </w:p>
    <w:p w:rsidR="000A728B" w:rsidRPr="000A728B" w:rsidRDefault="000A728B" w:rsidP="0043450F">
      <w:pPr>
        <w:ind w:firstLine="851"/>
      </w:pPr>
      <w:r w:rsidRPr="000A728B">
        <w:rPr>
          <w:b/>
          <w:u w:val="single"/>
        </w:rPr>
        <w:t>1.4. Сроки начала и окончания работ:</w:t>
      </w:r>
      <w:r w:rsidRPr="000A728B">
        <w:t xml:space="preserve"> </w:t>
      </w:r>
    </w:p>
    <w:p w:rsidR="000A728B" w:rsidRPr="000A728B" w:rsidRDefault="000A728B" w:rsidP="0043450F">
      <w:pPr>
        <w:ind w:firstLine="851"/>
      </w:pPr>
      <w:r w:rsidRPr="000A728B">
        <w:rPr>
          <w:b/>
        </w:rPr>
        <w:t>Начало работ:</w:t>
      </w:r>
      <w:r w:rsidRPr="000A728B">
        <w:t xml:space="preserve"> с даты заключения муниципального контракта.</w:t>
      </w:r>
    </w:p>
    <w:p w:rsidR="000A728B" w:rsidRPr="000A728B" w:rsidRDefault="000A728B" w:rsidP="0043450F">
      <w:pPr>
        <w:tabs>
          <w:tab w:val="left" w:pos="709"/>
        </w:tabs>
        <w:ind w:firstLine="851"/>
        <w:contextualSpacing/>
        <w:rPr>
          <w:b/>
          <w:bCs/>
        </w:rPr>
      </w:pPr>
      <w:r w:rsidRPr="000A728B">
        <w:rPr>
          <w:b/>
        </w:rPr>
        <w:t xml:space="preserve">Окончание работ: </w:t>
      </w:r>
      <w:r w:rsidRPr="000A728B">
        <w:t>в течение 45 календарных дней с даты подписания Контракта.</w:t>
      </w:r>
    </w:p>
    <w:p w:rsidR="000A728B" w:rsidRPr="000A728B" w:rsidRDefault="000A728B" w:rsidP="000A728B">
      <w:pPr>
        <w:tabs>
          <w:tab w:val="left" w:pos="709"/>
        </w:tabs>
        <w:contextualSpacing/>
        <w:rPr>
          <w:b/>
          <w:bCs/>
        </w:rPr>
      </w:pPr>
    </w:p>
    <w:p w:rsidR="000A728B" w:rsidRPr="000A728B" w:rsidRDefault="000A728B" w:rsidP="000A728B">
      <w:pPr>
        <w:tabs>
          <w:tab w:val="left" w:pos="993"/>
        </w:tabs>
        <w:contextualSpacing/>
        <w:rPr>
          <w:b/>
          <w:u w:val="single"/>
        </w:rPr>
      </w:pPr>
      <w:r w:rsidRPr="000A728B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0A728B" w:rsidRPr="000A728B" w:rsidRDefault="000A728B" w:rsidP="000A728B">
      <w:pPr>
        <w:shd w:val="clear" w:color="auto" w:fill="FFFFFF"/>
        <w:tabs>
          <w:tab w:val="left" w:pos="720"/>
        </w:tabs>
        <w:autoSpaceDE w:val="0"/>
        <w:autoSpaceDN w:val="0"/>
        <w:rPr>
          <w:rFonts w:eastAsia="Calibri"/>
          <w:lang w:eastAsia="en-US"/>
        </w:rPr>
      </w:pPr>
      <w:r w:rsidRPr="000A728B">
        <w:rPr>
          <w:b/>
          <w:u w:val="single"/>
        </w:rPr>
        <w:t>2.1.</w:t>
      </w:r>
      <w:r w:rsidRPr="000A728B">
        <w:t xml:space="preserve"> Подрядчик </w:t>
      </w:r>
      <w:r w:rsidRPr="000A728B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0A728B">
        <w:t xml:space="preserve"> и в сроки, указанными в </w:t>
      </w:r>
      <w:r w:rsidRPr="000A728B">
        <w:rPr>
          <w:b/>
        </w:rPr>
        <w:t>Описании объекта закупки, сметной документации, а так же с условиями и в сроки, установленные действующим законодательством.</w:t>
      </w:r>
    </w:p>
    <w:p w:rsidR="000A728B" w:rsidRPr="000A728B" w:rsidRDefault="000A728B" w:rsidP="000A728B">
      <w:pPr>
        <w:spacing w:after="0"/>
        <w:contextualSpacing/>
      </w:pPr>
      <w:r w:rsidRPr="000A728B">
        <w:rPr>
          <w:b/>
          <w:u w:val="single"/>
        </w:rPr>
        <w:t>2.1.1</w:t>
      </w:r>
      <w:r w:rsidRPr="000A728B">
        <w:rPr>
          <w:b/>
        </w:rPr>
        <w:t xml:space="preserve">. </w:t>
      </w:r>
      <w:r w:rsidRPr="000A728B">
        <w:t>Требования, предъявляемые к качеству работ</w:t>
      </w:r>
      <w:r w:rsidRPr="000A728B">
        <w:rPr>
          <w:b/>
        </w:rPr>
        <w:t xml:space="preserve">: </w:t>
      </w:r>
      <w:r w:rsidRPr="000A728B">
        <w:t>качество выполняемых работ должно соответствовать: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Федеральному закону от 27 декабря 2002 г. № 184-ФЗ “О техническом регулировании”;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Федеральный закон от 10 декабря 1995 г. №196-ФЗ «О безопасности дорожного движения»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Федеральный закон от 08 ноября 2007 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54809-2011 “Технические средства организации дорожного движения. Разметка дорожная. Методы контроля. Постановление Правительства РФ от 23.10.1993 N 1090, "О Правилах дорожного движения",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Технический регламент Таможенного союза 014/2011 «Безопасность автомобильных дорог» и «Классификацией работ по капитальному ремонту, ремонту и содержанию автомобильных дорог», утвержденный приказом Минтранса России от 16 ноября 2012 года № 402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"ГОСТ Р 52289-2019.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устройств"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(утв. Приказом Росстандарта от 20.12.2019 N 1425-ст)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23407 Ограждения инвентарные строительных площадок и участков производства строительно-монтажных работ. Технические условия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lastRenderedPageBreak/>
        <w:t>ГОСТ 32757 Дороги автомобильные общего пользования. Временные технические средства организации дорожного движения. Классификация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32758 Дороги автомобильные общего пользования. Временные технические средства организации дорожного движения. Технические требования и правила применения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32759 Дороги автомобильные общего пользования. Дорожные тумбы. Технические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32843 Дороги автомобильные общего пользования. Столбики сигнальные дорожные. Технические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32865 Дороги автомобильные общего пользования. Знаки переменной информации. Технические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 xml:space="preserve">ГОСТ 32866 Дороги автомобильные общего пользования. </w:t>
      </w:r>
      <w:proofErr w:type="spellStart"/>
      <w:r w:rsidRPr="000A728B">
        <w:t>Световозвращатели</w:t>
      </w:r>
      <w:proofErr w:type="spellEnd"/>
      <w:r w:rsidRPr="000A728B">
        <w:t xml:space="preserve"> дорожные. Технические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32945 Дороги автомобильные общего пользования. Знаки дорожные. Технические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32948 Дороги автомобильные общего пользования. Опоры дорожных знаков. Технические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32952 Дороги автомобильные общего пользования. Разметка дорожная. Методы контроля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32953 Дороги автомобильные общего пользования. Разметка дорожная. Технические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32964 Дороги автомобильные общего пользования. Искусственные неровности сборные. Технические требования. Методы контроля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33062 Дороги автомобильные общего пользования. Требования к размещению объектов дорожного и придорожного сервиса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33078 Дороги автомобильные общего пользования. Методы измерения сцепления колеса автомобиля с покрытием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33127 Дороги автомобильные общего пользования. Ограждения дорожные. Классификация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33128 Дороги автомобильные общего пользования. Ограждения дорожные. Технические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33129 Дороги автомобильные общего пользования. Ограждения дорожные. Методы контроля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33151 Дороги автомобильные общего пользования. Элементы обустройства. Технические требования. Правила применения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33153 Дороги автомобильные общего пользования. Проектирование тоннелей. Общие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33220 Дороги автомобильные общего пользования. Требования к эксплуатационному состоянию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33385 Дороги автомобильные общего пользования. Дорожные светофоры. Технические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50597 Автомобильные дороги и улицы. Требования к эксплуатационному состоянию, допустимому по условиям обеспечения безопасности дорожного движения. Методы контроля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50970 Технические средства организации дорожного движения. Столбики сигнальные дорожные. Общие технические требования. Правила применения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 xml:space="preserve">ГОСТ Р 50971 Технические средства организации дорожного движения. </w:t>
      </w:r>
      <w:proofErr w:type="spellStart"/>
      <w:r w:rsidRPr="000A728B">
        <w:t>Световозвращатели</w:t>
      </w:r>
      <w:proofErr w:type="spellEnd"/>
      <w:r w:rsidRPr="000A728B">
        <w:t xml:space="preserve"> дорожные. Общие технические требования. Правила применения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51256 Технические средства организации дорожного движения. Разметка дорожная. Классификация. Технические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52282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52290-2004 Технические средства организации дорожного движения. Знаки дорожные. Общие технические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52605 Технические средства организации дорожного движения. Искусственные неровности. Общие технические требования. Правила применения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52721 Технические средства организации дорожного движения. Методы испытаний дорожных ограждений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lastRenderedPageBreak/>
        <w:t>ГОСТ Р 52766 Дороги автомобильные общего пользования. Элементы обустройства. Общие требования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55691/ISO/TS 15624 Системы управления и информации на транспорте. Системы оповещения о дорожных происшествиях (TIWS). Требования к системе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58350 Автомобильные дороги общего пользования. Технические средства организации дорожного движения в местах производства работ. Технические требования. Правила применения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58351 Дороги автомобильные общего пользования. Ограждения дорожные фронтальные, удерживающие боковые комбинированные и удерживающие пешеходные. Общие технические требования. Методы испытаний и контроля. Правила применения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ГОСТ Р ИСО 23600 Вспомогательные технические средства для лиц с нарушением функций зрения и лиц с нарушением функций зрения и слуха. Звуковые и тактильные сигналы дорожных светофоров</w:t>
      </w:r>
    </w:p>
    <w:p w:rsidR="000A728B" w:rsidRPr="000A728B" w:rsidRDefault="000A728B" w:rsidP="000A728B">
      <w:pPr>
        <w:spacing w:after="0"/>
        <w:ind w:firstLine="709"/>
        <w:contextualSpacing/>
      </w:pPr>
      <w:r w:rsidRPr="000A728B">
        <w:t>СП 42.13330 "СНиП 2.07.01-89* Градостроительство. Планировка и застройка городских и сельских поселений"*</w:t>
      </w:r>
    </w:p>
    <w:p w:rsidR="000A728B" w:rsidRPr="000A728B" w:rsidRDefault="000A728B" w:rsidP="000A728B">
      <w:pPr>
        <w:spacing w:after="0"/>
      </w:pPr>
      <w:r w:rsidRPr="000A728B">
        <w:rPr>
          <w:b/>
          <w:u w:val="single"/>
        </w:rPr>
        <w:t>2.1.2.</w:t>
      </w:r>
      <w:r w:rsidRPr="000A728B">
        <w:rPr>
          <w:bCs/>
        </w:rPr>
        <w:t xml:space="preserve"> Оборудование пешеходных переходов </w:t>
      </w:r>
      <w:r w:rsidRPr="000A728B">
        <w:t>4-мя светодиодными светофорами Т</w:t>
      </w:r>
      <w:r w:rsidRPr="000A728B">
        <w:rPr>
          <w:vertAlign w:val="subscript"/>
        </w:rPr>
        <w:t>7</w:t>
      </w:r>
      <w:r w:rsidRPr="000A728B">
        <w:t xml:space="preserve"> с автономным (солнечным) питанием, желтыми излучателями и установкой на новые(стальные) стойки.</w:t>
      </w:r>
    </w:p>
    <w:p w:rsidR="000A728B" w:rsidRPr="000A728B" w:rsidRDefault="000A728B" w:rsidP="000A728B">
      <w:pPr>
        <w:spacing w:after="0"/>
        <w:rPr>
          <w:b/>
          <w:u w:val="single"/>
        </w:rPr>
      </w:pPr>
    </w:p>
    <w:p w:rsidR="000A728B" w:rsidRPr="000A728B" w:rsidRDefault="000A728B" w:rsidP="000A728B">
      <w:pPr>
        <w:spacing w:after="0"/>
        <w:rPr>
          <w:b/>
          <w:u w:val="single"/>
        </w:rPr>
      </w:pPr>
      <w:r w:rsidRPr="000A728B">
        <w:rPr>
          <w:b/>
          <w:u w:val="single"/>
        </w:rPr>
        <w:t xml:space="preserve">2.2. Требования к техническим, функциональным характеристикам (потребительским свойствам) оборудованию необходимому при выполнении работ: </w:t>
      </w:r>
    </w:p>
    <w:p w:rsidR="000A728B" w:rsidRPr="000A728B" w:rsidRDefault="000A728B" w:rsidP="000A728B">
      <w:pPr>
        <w:spacing w:after="0"/>
      </w:pPr>
      <w:r w:rsidRPr="000A728B">
        <w:rPr>
          <w:b/>
          <w:u w:val="single"/>
        </w:rPr>
        <w:t>2.2.1.</w:t>
      </w:r>
      <w:r w:rsidRPr="000A728B">
        <w:t xml:space="preserve"> Светофор сигнальный Т</w:t>
      </w:r>
      <w:r w:rsidRPr="000A728B">
        <w:rPr>
          <w:vertAlign w:val="subscript"/>
        </w:rPr>
        <w:t>7</w:t>
      </w:r>
      <w:r w:rsidRPr="000A728B">
        <w:t xml:space="preserve"> односекционный, двусторонний, желтый, мигающий, корпус плоский или классический в комплекте с креплениями на стойку диаметром 89мм.                              </w:t>
      </w:r>
    </w:p>
    <w:p w:rsidR="000A728B" w:rsidRPr="000A728B" w:rsidRDefault="000A728B" w:rsidP="000A728B">
      <w:pPr>
        <w:ind w:firstLine="709"/>
        <w:textAlignment w:val="center"/>
        <w:rPr>
          <w:color w:val="000000"/>
        </w:rPr>
      </w:pPr>
      <w:r w:rsidRPr="000A728B">
        <w:rPr>
          <w:bCs/>
          <w:color w:val="000000"/>
        </w:rPr>
        <w:t xml:space="preserve">Рабочее напряжение </w:t>
      </w:r>
      <w:r w:rsidRPr="000A728B">
        <w:rPr>
          <w:color w:val="000000"/>
        </w:rPr>
        <w:t>12 В</w:t>
      </w:r>
    </w:p>
    <w:p w:rsidR="000A728B" w:rsidRPr="000A728B" w:rsidRDefault="000A728B" w:rsidP="000A728B">
      <w:pPr>
        <w:spacing w:after="0"/>
        <w:ind w:firstLine="709"/>
        <w:jc w:val="left"/>
        <w:textAlignment w:val="center"/>
        <w:rPr>
          <w:color w:val="000000"/>
        </w:rPr>
      </w:pPr>
      <w:r w:rsidRPr="000A728B">
        <w:rPr>
          <w:bCs/>
          <w:color w:val="000000"/>
        </w:rPr>
        <w:t xml:space="preserve">Диаметр апертуры </w:t>
      </w:r>
      <w:r w:rsidRPr="000A728B">
        <w:rPr>
          <w:color w:val="000000"/>
        </w:rPr>
        <w:t>200 мм</w:t>
      </w:r>
    </w:p>
    <w:p w:rsidR="000A728B" w:rsidRPr="000A728B" w:rsidRDefault="000A728B" w:rsidP="000A728B">
      <w:pPr>
        <w:spacing w:after="0"/>
        <w:ind w:firstLine="709"/>
        <w:jc w:val="left"/>
        <w:textAlignment w:val="center"/>
        <w:rPr>
          <w:color w:val="000000"/>
        </w:rPr>
      </w:pPr>
      <w:r w:rsidRPr="000A728B">
        <w:rPr>
          <w:bCs/>
          <w:color w:val="000000"/>
        </w:rPr>
        <w:t xml:space="preserve">Габаритные размеры </w:t>
      </w:r>
      <w:r w:rsidRPr="000A728B">
        <w:rPr>
          <w:color w:val="000000"/>
        </w:rPr>
        <w:t>300х300х25 мм</w:t>
      </w:r>
    </w:p>
    <w:p w:rsidR="000A728B" w:rsidRPr="000A728B" w:rsidRDefault="000A728B" w:rsidP="000A728B">
      <w:pPr>
        <w:ind w:firstLine="709"/>
        <w:contextualSpacing/>
        <w:textAlignment w:val="center"/>
        <w:rPr>
          <w:color w:val="000000"/>
        </w:rPr>
      </w:pPr>
      <w:r w:rsidRPr="000A728B">
        <w:rPr>
          <w:bCs/>
          <w:color w:val="000000"/>
        </w:rPr>
        <w:t xml:space="preserve">Потребляемая мощность </w:t>
      </w:r>
      <w:r w:rsidRPr="000A728B">
        <w:rPr>
          <w:color w:val="000000"/>
        </w:rPr>
        <w:t>3.5 Вт</w:t>
      </w:r>
    </w:p>
    <w:p w:rsidR="000A728B" w:rsidRPr="000A728B" w:rsidRDefault="000A728B" w:rsidP="000A728B">
      <w:pPr>
        <w:ind w:firstLine="709"/>
        <w:contextualSpacing/>
        <w:textAlignment w:val="center"/>
        <w:rPr>
          <w:color w:val="000000"/>
        </w:rPr>
      </w:pPr>
      <w:r w:rsidRPr="000A728B">
        <w:rPr>
          <w:bCs/>
          <w:color w:val="000000"/>
        </w:rPr>
        <w:t xml:space="preserve">Яркость </w:t>
      </w:r>
      <w:r w:rsidRPr="000A728B">
        <w:rPr>
          <w:color w:val="000000"/>
        </w:rPr>
        <w:t>ГОСТ Р 52282-2004</w:t>
      </w:r>
    </w:p>
    <w:p w:rsidR="000A728B" w:rsidRPr="000A728B" w:rsidRDefault="000A728B" w:rsidP="000A728B">
      <w:pPr>
        <w:ind w:firstLine="709"/>
        <w:contextualSpacing/>
        <w:textAlignment w:val="center"/>
        <w:rPr>
          <w:color w:val="000000"/>
        </w:rPr>
      </w:pPr>
      <w:r w:rsidRPr="000A728B">
        <w:rPr>
          <w:bCs/>
          <w:color w:val="000000"/>
        </w:rPr>
        <w:t xml:space="preserve">Вес </w:t>
      </w:r>
      <w:r w:rsidRPr="000A728B">
        <w:rPr>
          <w:color w:val="000000"/>
        </w:rPr>
        <w:t>2.2 кг</w:t>
      </w:r>
    </w:p>
    <w:p w:rsidR="000A728B" w:rsidRPr="000A728B" w:rsidRDefault="000A728B" w:rsidP="000A728B">
      <w:pPr>
        <w:spacing w:after="0"/>
        <w:ind w:firstLine="709"/>
        <w:jc w:val="left"/>
        <w:textAlignment w:val="center"/>
        <w:rPr>
          <w:color w:val="000000"/>
        </w:rPr>
      </w:pPr>
      <w:r w:rsidRPr="000A728B">
        <w:rPr>
          <w:bCs/>
          <w:color w:val="000000"/>
        </w:rPr>
        <w:t xml:space="preserve">Температура эксплуатации </w:t>
      </w:r>
      <w:r w:rsidRPr="000A728B">
        <w:rPr>
          <w:color w:val="000000"/>
        </w:rPr>
        <w:t>-40</w:t>
      </w:r>
      <w:r w:rsidRPr="000A728B">
        <w:rPr>
          <w:color w:val="000000"/>
          <w:vertAlign w:val="superscript"/>
        </w:rPr>
        <w:t>о</w:t>
      </w:r>
      <w:r w:rsidRPr="000A728B">
        <w:rPr>
          <w:color w:val="000000"/>
        </w:rPr>
        <w:t>С – +60</w:t>
      </w:r>
      <w:r w:rsidRPr="000A728B">
        <w:rPr>
          <w:color w:val="000000"/>
          <w:vertAlign w:val="superscript"/>
        </w:rPr>
        <w:t>о</w:t>
      </w:r>
      <w:r w:rsidRPr="000A728B">
        <w:rPr>
          <w:color w:val="000000"/>
        </w:rPr>
        <w:t>С</w:t>
      </w:r>
    </w:p>
    <w:p w:rsidR="000A728B" w:rsidRPr="000A728B" w:rsidRDefault="000A728B" w:rsidP="000A728B">
      <w:pPr>
        <w:ind w:firstLine="709"/>
        <w:contextualSpacing/>
        <w:textAlignment w:val="center"/>
        <w:rPr>
          <w:color w:val="000000"/>
        </w:rPr>
      </w:pPr>
      <w:r w:rsidRPr="000A728B">
        <w:rPr>
          <w:bCs/>
          <w:color w:val="000000"/>
        </w:rPr>
        <w:t>Степень защиты</w:t>
      </w:r>
      <w:r w:rsidRPr="000A728B">
        <w:rPr>
          <w:color w:val="000000"/>
        </w:rPr>
        <w:t xml:space="preserve"> IP 54</w:t>
      </w:r>
    </w:p>
    <w:p w:rsidR="000A728B" w:rsidRPr="000A728B" w:rsidRDefault="000A728B" w:rsidP="000A728B">
      <w:pPr>
        <w:spacing w:after="0"/>
        <w:ind w:firstLine="709"/>
        <w:jc w:val="left"/>
        <w:textAlignment w:val="center"/>
        <w:rPr>
          <w:color w:val="000000"/>
        </w:rPr>
      </w:pPr>
    </w:p>
    <w:p w:rsidR="000A728B" w:rsidRPr="000A728B" w:rsidRDefault="000A728B" w:rsidP="000A728B">
      <w:r w:rsidRPr="000A728B">
        <w:rPr>
          <w:b/>
          <w:u w:val="single"/>
        </w:rPr>
        <w:t xml:space="preserve">2.2.2. </w:t>
      </w:r>
      <w:r w:rsidRPr="000A728B">
        <w:t>Солнечная электростанция АСК 200/100</w:t>
      </w:r>
    </w:p>
    <w:p w:rsidR="000A728B" w:rsidRPr="000A728B" w:rsidRDefault="000A728B" w:rsidP="000A728B">
      <w:pPr>
        <w:spacing w:after="0"/>
      </w:pPr>
      <w:r w:rsidRPr="000A728B">
        <w:t xml:space="preserve">       В комплект солнечной электростанции входят:</w:t>
      </w:r>
      <w:r w:rsidRPr="000A728B">
        <w:rPr>
          <w:noProof/>
        </w:rPr>
        <w:t xml:space="preserve"> </w:t>
      </w:r>
    </w:p>
    <w:p w:rsidR="000A728B" w:rsidRPr="000A728B" w:rsidRDefault="000A728B" w:rsidP="000A728B">
      <w:pPr>
        <w:spacing w:after="0"/>
      </w:pPr>
      <w:r w:rsidRPr="000A728B">
        <w:t>-Ящик (крепления на стойку 89мм): 1шт.</w:t>
      </w:r>
    </w:p>
    <w:p w:rsidR="000A728B" w:rsidRPr="000A728B" w:rsidRDefault="000A728B" w:rsidP="000A728B">
      <w:pPr>
        <w:spacing w:after="0"/>
      </w:pPr>
      <w:r w:rsidRPr="000A728B">
        <w:t>-Контроллер: 1 шт.</w:t>
      </w:r>
    </w:p>
    <w:p w:rsidR="000A728B" w:rsidRPr="000A728B" w:rsidRDefault="000A728B" w:rsidP="000A728B">
      <w:pPr>
        <w:spacing w:after="0"/>
      </w:pPr>
      <w:r w:rsidRPr="000A728B">
        <w:t>-Аккумулятор 100А/ч :1 шт.</w:t>
      </w:r>
    </w:p>
    <w:p w:rsidR="000A728B" w:rsidRPr="000A728B" w:rsidRDefault="000A728B" w:rsidP="000A728B">
      <w:pPr>
        <w:spacing w:after="0"/>
      </w:pPr>
      <w:r w:rsidRPr="000A728B">
        <w:t>-Солнечная панель поликристаллическая с направляющими 200Вт :1 шт.</w:t>
      </w:r>
    </w:p>
    <w:p w:rsidR="000A728B" w:rsidRPr="000A728B" w:rsidRDefault="000A728B" w:rsidP="000A728B">
      <w:pPr>
        <w:spacing w:after="0"/>
      </w:pPr>
      <w:r w:rsidRPr="000A728B">
        <w:t>-Комплект проводов, стяжек, крепежа</w:t>
      </w:r>
    </w:p>
    <w:p w:rsidR="000A728B" w:rsidRPr="000A728B" w:rsidRDefault="000A728B" w:rsidP="000A728B">
      <w:pPr>
        <w:spacing w:after="0"/>
      </w:pPr>
      <w:r w:rsidRPr="000A728B">
        <w:t>Включение наружных осветительных установок необходимо осуществлять в вечерние сумерки при снижении естественной освещенности до 20 лк, а отключение - в утренние сумерки при естественной освещенности до 10 лк.</w:t>
      </w:r>
    </w:p>
    <w:p w:rsidR="000A728B" w:rsidRPr="000A728B" w:rsidRDefault="000A728B" w:rsidP="000A728B">
      <w:pPr>
        <w:spacing w:after="0"/>
      </w:pPr>
      <w:r w:rsidRPr="000A728B">
        <w:t>Установка опор для светофора и солнечной батареи:</w:t>
      </w:r>
    </w:p>
    <w:p w:rsidR="000A728B" w:rsidRPr="000A728B" w:rsidRDefault="000A728B" w:rsidP="000A728B">
      <w:pPr>
        <w:spacing w:after="0"/>
      </w:pPr>
      <w:r w:rsidRPr="000A728B">
        <w:t>•</w:t>
      </w:r>
      <w:r w:rsidRPr="000A728B">
        <w:tab/>
        <w:t>бурение ямы под устройство фундамента металлической опоры;</w:t>
      </w:r>
    </w:p>
    <w:p w:rsidR="000A728B" w:rsidRPr="000A728B" w:rsidRDefault="000A728B" w:rsidP="000A728B">
      <w:pPr>
        <w:spacing w:after="0"/>
      </w:pPr>
      <w:r w:rsidRPr="000A728B">
        <w:t>•</w:t>
      </w:r>
      <w:r w:rsidRPr="000A728B">
        <w:tab/>
        <w:t>копание ям вручную под закладную деталь и ящики для аккумуляторов;</w:t>
      </w:r>
    </w:p>
    <w:p w:rsidR="000A728B" w:rsidRPr="000A728B" w:rsidRDefault="000A728B" w:rsidP="000A728B">
      <w:pPr>
        <w:spacing w:after="0"/>
      </w:pPr>
      <w:r w:rsidRPr="000A728B">
        <w:t>•</w:t>
      </w:r>
      <w:r w:rsidRPr="000A728B">
        <w:tab/>
        <w:t>устройство фундаментов металлических опор из бетона В15;</w:t>
      </w:r>
    </w:p>
    <w:p w:rsidR="000A728B" w:rsidRPr="000A728B" w:rsidRDefault="000A728B" w:rsidP="000A728B">
      <w:pPr>
        <w:spacing w:after="0"/>
      </w:pPr>
      <w:r w:rsidRPr="000A728B">
        <w:t>•</w:t>
      </w:r>
      <w:r w:rsidRPr="000A728B">
        <w:tab/>
        <w:t>установка закладной детали для металлической опоры;</w:t>
      </w:r>
    </w:p>
    <w:p w:rsidR="000A728B" w:rsidRPr="000A728B" w:rsidRDefault="000A728B" w:rsidP="000A728B">
      <w:pPr>
        <w:spacing w:after="0"/>
      </w:pPr>
      <w:r w:rsidRPr="000A728B">
        <w:t>•</w:t>
      </w:r>
      <w:r w:rsidRPr="000A728B">
        <w:tab/>
        <w:t>установка опор ОТФ-6,0/1,8-108-1500ц, ОТФ-6,0/1,8-108ц, ОТФк-7,5/2,0-159-5500ц для светофора и солнечной батареи с обратной засыпкой ям;</w:t>
      </w:r>
    </w:p>
    <w:p w:rsidR="000A728B" w:rsidRPr="000A728B" w:rsidRDefault="000A728B" w:rsidP="000A728B">
      <w:pPr>
        <w:spacing w:after="0"/>
      </w:pPr>
      <w:r w:rsidRPr="000A728B">
        <w:t>•</w:t>
      </w:r>
      <w:r w:rsidRPr="000A728B">
        <w:tab/>
        <w:t>прокладка кабеля ПВС 2х2,5мм2 с разводкой и подключением жил кабеля;</w:t>
      </w:r>
    </w:p>
    <w:p w:rsidR="000A728B" w:rsidRPr="000A728B" w:rsidRDefault="000A728B" w:rsidP="000A728B">
      <w:pPr>
        <w:spacing w:after="0"/>
      </w:pPr>
      <w:r w:rsidRPr="000A728B">
        <w:t>•</w:t>
      </w:r>
      <w:r w:rsidRPr="000A728B">
        <w:tab/>
        <w:t>установка контроллера заряда МРРТ;</w:t>
      </w:r>
    </w:p>
    <w:p w:rsidR="000A728B" w:rsidRPr="000A728B" w:rsidRDefault="000A728B" w:rsidP="000A728B">
      <w:pPr>
        <w:spacing w:after="0"/>
      </w:pPr>
      <w:r w:rsidRPr="000A728B">
        <w:t>•</w:t>
      </w:r>
      <w:r w:rsidRPr="000A728B">
        <w:tab/>
        <w:t>установка солнечной батареи 310Вт на конструкции опоры;</w:t>
      </w:r>
    </w:p>
    <w:p w:rsidR="000A728B" w:rsidRPr="000A728B" w:rsidRDefault="000A728B" w:rsidP="000A728B">
      <w:pPr>
        <w:spacing w:after="0"/>
      </w:pPr>
      <w:r w:rsidRPr="000A728B">
        <w:t>•          установка транспортных светофоров Т-7 с контроллером на конструкции опоры;</w:t>
      </w:r>
    </w:p>
    <w:p w:rsidR="000A728B" w:rsidRPr="000A728B" w:rsidRDefault="000A728B" w:rsidP="000A728B">
      <w:pPr>
        <w:spacing w:after="0"/>
      </w:pPr>
      <w:r w:rsidRPr="000A728B">
        <w:t>•</w:t>
      </w:r>
      <w:r w:rsidRPr="000A728B">
        <w:tab/>
        <w:t>установка дорожных знаков двухсторонних «Пешеходный переход 5.19» на конструкции опоры;</w:t>
      </w:r>
    </w:p>
    <w:p w:rsidR="000A728B" w:rsidRPr="000A728B" w:rsidRDefault="000A728B" w:rsidP="000A728B">
      <w:pPr>
        <w:spacing w:after="0"/>
      </w:pPr>
      <w:r w:rsidRPr="000A728B">
        <w:t>•</w:t>
      </w:r>
      <w:r w:rsidRPr="000A728B">
        <w:tab/>
        <w:t>установка светильника светодиодного 40 Вт на конструкции опоры;</w:t>
      </w:r>
    </w:p>
    <w:p w:rsidR="000A728B" w:rsidRPr="000A728B" w:rsidRDefault="000A728B" w:rsidP="000A728B">
      <w:pPr>
        <w:spacing w:after="0"/>
      </w:pPr>
      <w:r w:rsidRPr="000A728B">
        <w:lastRenderedPageBreak/>
        <w:t>•</w:t>
      </w:r>
      <w:r w:rsidRPr="000A728B">
        <w:tab/>
        <w:t>установка аккумуляторов AGM 12B в соответствующие ящики;</w:t>
      </w:r>
    </w:p>
    <w:p w:rsidR="000A728B" w:rsidRPr="000A728B" w:rsidRDefault="000A728B" w:rsidP="000A728B">
      <w:pPr>
        <w:spacing w:after="0"/>
      </w:pPr>
      <w:r w:rsidRPr="000A728B">
        <w:t>•</w:t>
      </w:r>
      <w:r w:rsidRPr="000A728B">
        <w:tab/>
        <w:t>пуско-наладочные работы на опоре.</w:t>
      </w:r>
    </w:p>
    <w:p w:rsidR="000A728B" w:rsidRPr="000A728B" w:rsidRDefault="000A728B" w:rsidP="000A728B">
      <w:pPr>
        <w:spacing w:after="0"/>
        <w:ind w:firstLine="567"/>
      </w:pPr>
      <w:r w:rsidRPr="000A728B">
        <w:t>После окончания пуско-наладочных работ производится планировка прилегающей территории вручную.</w:t>
      </w:r>
    </w:p>
    <w:p w:rsidR="000A728B" w:rsidRPr="000A728B" w:rsidRDefault="000A728B" w:rsidP="000A728B">
      <w:pPr>
        <w:spacing w:after="0"/>
        <w:ind w:firstLine="567"/>
      </w:pPr>
      <w:r w:rsidRPr="000A728B">
        <w:t>Подключение всех светофоров осуществляется в соответствии с маркировкой на клеммной колодке внутри корпуса светофора.</w:t>
      </w:r>
    </w:p>
    <w:p w:rsidR="000A728B" w:rsidRPr="000A728B" w:rsidRDefault="000A728B" w:rsidP="000A728B">
      <w:pPr>
        <w:spacing w:after="0"/>
        <w:ind w:firstLine="567"/>
      </w:pPr>
      <w:r w:rsidRPr="000A728B">
        <w:t>Все светофоры транспортного типа устанавливаются согласно требованиям ГОСТ Р 52289-2019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</w:r>
    </w:p>
    <w:p w:rsidR="000A728B" w:rsidRPr="000A728B" w:rsidRDefault="000A728B" w:rsidP="000A728B">
      <w:pPr>
        <w:spacing w:after="0"/>
        <w:ind w:firstLine="567"/>
      </w:pPr>
      <w:r w:rsidRPr="000A728B">
        <w:t xml:space="preserve">Прокладка кабеля предусмотрена внутри конструкции. </w:t>
      </w:r>
      <w:proofErr w:type="spellStart"/>
      <w:r w:rsidRPr="000A728B">
        <w:t>Опуски</w:t>
      </w:r>
      <w:proofErr w:type="spellEnd"/>
      <w:r w:rsidRPr="000A728B">
        <w:t xml:space="preserve"> кабеля по опорам следует также закрепить при помощи монтажной стальной ленты. Верхний и нижний кронштейн светофоров к опоре крепится при помощи хомута.</w:t>
      </w:r>
    </w:p>
    <w:p w:rsidR="000A728B" w:rsidRPr="000A728B" w:rsidRDefault="000A728B" w:rsidP="000A728B">
      <w:pPr>
        <w:spacing w:after="0"/>
        <w:ind w:firstLine="567"/>
      </w:pPr>
      <w:r w:rsidRPr="000A728B">
        <w:t>При проведении электромонтажных работ необходимо монтаж кабельных линий производить при условии исключения механических напряжений, вызывающих повреждение кабеля. Работы по монтажу оборудования необходимо производить сотрудниками с соответствующими допусками.</w:t>
      </w:r>
    </w:p>
    <w:p w:rsidR="000A728B" w:rsidRPr="000A728B" w:rsidRDefault="000A728B" w:rsidP="000A728B">
      <w:pPr>
        <w:spacing w:after="0"/>
        <w:ind w:firstLine="567"/>
      </w:pPr>
      <w:r w:rsidRPr="000A728B">
        <w:t>Электромонтажные работы при установке светофоров связаны, в основном, с монтажом кабельных цепей, электрооборудования. Монтаж контрольных кабелей разбивается на ряд технологических операций, таких как:</w:t>
      </w:r>
    </w:p>
    <w:p w:rsidR="000A728B" w:rsidRPr="000A728B" w:rsidRDefault="000A728B" w:rsidP="000A728B">
      <w:pPr>
        <w:spacing w:after="0"/>
        <w:ind w:firstLine="567"/>
      </w:pPr>
      <w:r w:rsidRPr="000A728B">
        <w:t>•   разделка концов кабелей;</w:t>
      </w:r>
    </w:p>
    <w:p w:rsidR="000A728B" w:rsidRPr="000A728B" w:rsidRDefault="000A728B" w:rsidP="000A728B">
      <w:pPr>
        <w:spacing w:after="0"/>
        <w:ind w:firstLine="567"/>
      </w:pPr>
      <w:r w:rsidRPr="000A728B">
        <w:t>•   устройство концевых заделок;</w:t>
      </w:r>
    </w:p>
    <w:p w:rsidR="000A728B" w:rsidRPr="000A728B" w:rsidRDefault="000A728B" w:rsidP="000A728B">
      <w:pPr>
        <w:spacing w:after="0"/>
        <w:ind w:firstLine="567"/>
      </w:pPr>
      <w:r w:rsidRPr="000A728B">
        <w:t>•   закрепление концов на конструкциях;</w:t>
      </w:r>
    </w:p>
    <w:p w:rsidR="000A728B" w:rsidRPr="000A728B" w:rsidRDefault="000A728B" w:rsidP="000A728B">
      <w:pPr>
        <w:spacing w:after="0"/>
        <w:ind w:firstLine="567"/>
      </w:pPr>
      <w:r w:rsidRPr="000A728B">
        <w:t>•   подключение жил кабеля к зажимам клемм.</w:t>
      </w:r>
    </w:p>
    <w:p w:rsidR="000A728B" w:rsidRPr="000A728B" w:rsidRDefault="000A728B" w:rsidP="000A728B">
      <w:pPr>
        <w:spacing w:after="0"/>
        <w:ind w:firstLine="567"/>
      </w:pPr>
      <w:r w:rsidRPr="000A728B">
        <w:t>Обслуживание и настройка светофоров осуществляется от контроллера.</w:t>
      </w:r>
    </w:p>
    <w:p w:rsidR="000A728B" w:rsidRPr="000A728B" w:rsidRDefault="000A728B" w:rsidP="000A728B">
      <w:pPr>
        <w:spacing w:after="0"/>
        <w:ind w:firstLine="567"/>
      </w:pPr>
      <w:r w:rsidRPr="000A728B">
        <w:t xml:space="preserve">Согласно ГОСТ Р 55844-2013 «Освещение наружное утилитарное дорог и пешеходных зон» для обозначения зоны пешеходного перехода. В условиях отсутствия уличного освещения, предусматривается установка светильников светодиодных 40Вт (12/24V) на конструкциях прямостоечных металлических опор. </w:t>
      </w:r>
      <w:proofErr w:type="spellStart"/>
      <w:r w:rsidRPr="000A728B">
        <w:t>Светораспределение</w:t>
      </w:r>
      <w:proofErr w:type="spellEnd"/>
      <w:r w:rsidRPr="000A728B">
        <w:t xml:space="preserve"> светильников и их ориентация относительно наземного пешеходного перехода должны обеспечивать контраст пешехода с фоном (проезжей частью) и не вызывать ослепления водителей. Размещают светильники перед переходом по отношению к приближающемуся транспорту, направляя свет на пешехода со стороны водителя. На дорогах с двусторонним движением светильники устанавливают относительно обоих направлений движения.</w:t>
      </w:r>
    </w:p>
    <w:p w:rsidR="000A728B" w:rsidRPr="000A728B" w:rsidRDefault="000A728B" w:rsidP="000A728B">
      <w:pPr>
        <w:spacing w:after="0"/>
        <w:ind w:firstLine="567"/>
      </w:pPr>
      <w:r w:rsidRPr="000A728B">
        <w:t xml:space="preserve">Для обеспечения безопасности движения и улучшения ориентации водителей и пешеходов на автомобильной дороге предусмотрена установка двухсторонних дорожных знаков «Пешеходный переход» на опоре и установка дорожных знаков с применением </w:t>
      </w:r>
      <w:proofErr w:type="spellStart"/>
      <w:r w:rsidRPr="000A728B">
        <w:t>световозвращающей</w:t>
      </w:r>
      <w:proofErr w:type="spellEnd"/>
      <w:r w:rsidRPr="000A728B">
        <w:t xml:space="preserve"> пленки тип В (знаки на флуоресцентной желтой маске). Знаки устанавливают на высоте от 1,5 до 2,0 м.</w:t>
      </w:r>
    </w:p>
    <w:p w:rsidR="000A728B" w:rsidRPr="000A728B" w:rsidRDefault="000A728B" w:rsidP="000A728B">
      <w:pPr>
        <w:spacing w:after="0"/>
        <w:ind w:firstLine="567"/>
      </w:pPr>
      <w:proofErr w:type="gramStart"/>
      <w:r w:rsidRPr="000A728B">
        <w:t>Для определения качества выполняемых работ и применяемых материалов используется собственная (или арендованная, приобретенная на прочих правах, на основании соответствующего Контракта) аккредитованная или аттестованная испытательная лаборатория Подрядчика с подготовленным персоналом на весь комплекс испытаний, необходимых для оценки качества выполняемых работ и используемых материалов в соответствии с п. 7 СП 48.13330.2019 «СНиП 12-01-2004 Организация строительства» и п. 14.1 СП 78.13330.2012 «Автомобильные дороги».*</w:t>
      </w:r>
      <w:proofErr w:type="gramEnd"/>
    </w:p>
    <w:p w:rsidR="000A728B" w:rsidRPr="000A728B" w:rsidRDefault="000A728B" w:rsidP="000A728B">
      <w:pPr>
        <w:spacing w:after="0"/>
      </w:pPr>
      <w:r w:rsidRPr="000A728B">
        <w:rPr>
          <w:b/>
          <w:u w:val="single"/>
        </w:rPr>
        <w:t>2.2.3.</w:t>
      </w:r>
      <w:r w:rsidRPr="000A728B">
        <w:t xml:space="preserve">    Направление солнечной панели Подрядчик согласовывает с Заказчиком.</w:t>
      </w:r>
    </w:p>
    <w:p w:rsidR="000A728B" w:rsidRPr="000A728B" w:rsidRDefault="000A728B" w:rsidP="000A728B">
      <w:pPr>
        <w:rPr>
          <w:u w:val="single"/>
        </w:rPr>
      </w:pPr>
      <w:r w:rsidRPr="000A728B">
        <w:rPr>
          <w:b/>
          <w:u w:val="single"/>
        </w:rPr>
        <w:t>2.2.4.</w:t>
      </w:r>
      <w:r w:rsidRPr="000A728B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0A728B" w:rsidRPr="000A728B" w:rsidRDefault="000A728B" w:rsidP="000A728B">
      <w:pPr>
        <w:contextualSpacing/>
      </w:pPr>
      <w:r w:rsidRPr="000A728B">
        <w:rPr>
          <w:b/>
          <w:u w:val="single"/>
        </w:rPr>
        <w:t>2.3.1</w:t>
      </w:r>
      <w:r w:rsidRPr="000A728B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0A728B" w:rsidRPr="000A728B" w:rsidRDefault="000A728B" w:rsidP="000A728B">
      <w:pPr>
        <w:ind w:firstLine="709"/>
        <w:contextualSpacing/>
      </w:pPr>
      <w:r w:rsidRPr="000A728B">
        <w:t xml:space="preserve"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</w:t>
      </w:r>
      <w:r w:rsidRPr="000A728B">
        <w:lastRenderedPageBreak/>
        <w:t>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0A728B" w:rsidRPr="000A728B" w:rsidRDefault="000A728B" w:rsidP="000A728B">
      <w:pPr>
        <w:ind w:firstLine="709"/>
        <w:contextualSpacing/>
      </w:pPr>
      <w:r w:rsidRPr="000A728B">
        <w:t>Подрядчик обязан соблюдать правила охраны труда в соответствии с действующим законодательством РФ.</w:t>
      </w:r>
    </w:p>
    <w:p w:rsidR="000A728B" w:rsidRPr="000A728B" w:rsidRDefault="000A728B" w:rsidP="000A728B">
      <w:pPr>
        <w:ind w:firstLine="709"/>
        <w:contextualSpacing/>
      </w:pPr>
      <w:r w:rsidRPr="000A728B">
        <w:t>Подрядчик обязан соблюдать требования техники безопасности в соответствии с действующим законодательством РФ.</w:t>
      </w:r>
    </w:p>
    <w:p w:rsidR="000A728B" w:rsidRPr="000A728B" w:rsidRDefault="000A728B" w:rsidP="000A728B">
      <w:pPr>
        <w:ind w:firstLine="709"/>
        <w:contextualSpacing/>
      </w:pPr>
      <w:r w:rsidRPr="000A728B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0A728B" w:rsidRPr="000A728B" w:rsidRDefault="000A728B" w:rsidP="000A728B">
      <w:pPr>
        <w:ind w:firstLine="709"/>
        <w:contextualSpacing/>
      </w:pPr>
      <w:r w:rsidRPr="000A728B">
        <w:t>Подрядчик обязан обеспечить безопасность дорожного движения при выполнении работ в соответствии с действующим законодательством РФ.</w:t>
      </w:r>
    </w:p>
    <w:p w:rsidR="000A728B" w:rsidRPr="000A728B" w:rsidRDefault="000A728B" w:rsidP="000A728B">
      <w:pPr>
        <w:ind w:firstLine="709"/>
        <w:contextualSpacing/>
      </w:pPr>
      <w:r w:rsidRPr="000A728B">
        <w:t>Ответственность за нарушение перечисленных требований возлагается на Подрядчика.</w:t>
      </w:r>
    </w:p>
    <w:p w:rsidR="000A728B" w:rsidRPr="000A728B" w:rsidRDefault="000A728B" w:rsidP="000A728B">
      <w:pPr>
        <w:ind w:firstLine="709"/>
        <w:contextualSpacing/>
      </w:pPr>
      <w:r w:rsidRPr="000A728B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0A728B" w:rsidRPr="000A728B" w:rsidRDefault="000A728B" w:rsidP="000A728B">
      <w:pPr>
        <w:ind w:firstLine="709"/>
        <w:contextualSpacing/>
      </w:pPr>
      <w:r w:rsidRPr="000A728B">
        <w:t>Подрядчик обязан незамедлительно сообщать Заказчику об аварийных ситуациях на территории с. Козьмино и п. Сойга выявленных (допущенных) в ходе оказания работ.</w:t>
      </w:r>
    </w:p>
    <w:p w:rsidR="000A728B" w:rsidRPr="000A728B" w:rsidRDefault="000A728B" w:rsidP="000A728B">
      <w:pPr>
        <w:ind w:firstLine="709"/>
        <w:contextualSpacing/>
      </w:pPr>
      <w:r w:rsidRPr="000A728B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Актом выполненных работ.</w:t>
      </w:r>
    </w:p>
    <w:p w:rsidR="000A728B" w:rsidRPr="000A728B" w:rsidRDefault="000A728B" w:rsidP="000A728B">
      <w:pPr>
        <w:autoSpaceDE w:val="0"/>
        <w:rPr>
          <w:color w:val="000000"/>
          <w:u w:val="single"/>
          <w:lang w:eastAsia="en-US" w:bidi="en-US"/>
        </w:rPr>
      </w:pPr>
      <w:r w:rsidRPr="000A728B">
        <w:rPr>
          <w:b/>
          <w:u w:val="single"/>
        </w:rPr>
        <w:t>2.4.</w:t>
      </w:r>
      <w:r w:rsidRPr="000A728B">
        <w:rPr>
          <w:u w:val="single"/>
        </w:rPr>
        <w:t xml:space="preserve"> </w:t>
      </w:r>
      <w:r w:rsidRPr="000A728B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0A728B" w:rsidRPr="000A728B" w:rsidRDefault="000A728B" w:rsidP="000A728B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zh-CN"/>
        </w:rPr>
      </w:pPr>
      <w:r w:rsidRPr="000A728B">
        <w:t xml:space="preserve">          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0A728B" w:rsidRPr="000A728B" w:rsidRDefault="000A728B" w:rsidP="000A728B">
      <w:pPr>
        <w:tabs>
          <w:tab w:val="left" w:pos="284"/>
        </w:tabs>
      </w:pPr>
      <w:r w:rsidRPr="000A728B">
        <w:t xml:space="preserve">          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0A728B" w:rsidRPr="000A728B" w:rsidRDefault="000A728B" w:rsidP="000A728B">
      <w:pPr>
        <w:spacing w:after="0"/>
      </w:pPr>
      <w:r w:rsidRPr="000A728B">
        <w:t xml:space="preserve">          Выполнение работ производится Подрядчиком в полном соответствии с данным техническим заданием, с соблюдением строительных норм и правил, ПУЭ, правил по ОТ, ППБ, СанПиН и охране окружающей среды.</w:t>
      </w:r>
    </w:p>
    <w:p w:rsidR="000A728B" w:rsidRPr="000A728B" w:rsidRDefault="000A728B" w:rsidP="000A728B">
      <w:pPr>
        <w:spacing w:after="0"/>
        <w:rPr>
          <w:b/>
          <w:u w:val="single"/>
        </w:rPr>
      </w:pPr>
      <w:r w:rsidRPr="000A728B">
        <w:rPr>
          <w:b/>
          <w:spacing w:val="-8"/>
          <w:u w:val="single"/>
        </w:rPr>
        <w:t>2.5. Требования к г</w:t>
      </w:r>
      <w:r w:rsidRPr="000A728B">
        <w:rPr>
          <w:b/>
          <w:u w:val="single"/>
        </w:rPr>
        <w:t>арантийному сроку на выполненные работы:</w:t>
      </w:r>
    </w:p>
    <w:p w:rsidR="000A728B" w:rsidRPr="000A728B" w:rsidRDefault="000A728B" w:rsidP="000A728B">
      <w:pPr>
        <w:spacing w:after="0"/>
        <w:ind w:firstLine="567"/>
        <w:rPr>
          <w:spacing w:val="-8"/>
        </w:rPr>
      </w:pPr>
      <w:r w:rsidRPr="000A728B">
        <w:rPr>
          <w:spacing w:val="-8"/>
        </w:rPr>
        <w:t>Гарантийные сроки устанавливаются со дня подписания Заказчиком соответствующих Актов о приемке выполненных работ составляют:</w:t>
      </w:r>
    </w:p>
    <w:p w:rsidR="000A728B" w:rsidRPr="000A728B" w:rsidRDefault="000A728B" w:rsidP="000A728B">
      <w:pPr>
        <w:spacing w:after="0"/>
        <w:ind w:firstLine="567"/>
        <w:rPr>
          <w:spacing w:val="-8"/>
        </w:rPr>
      </w:pPr>
      <w:r w:rsidRPr="000A728B">
        <w:rPr>
          <w:spacing w:val="-8"/>
        </w:rPr>
        <w:t xml:space="preserve">3 (три) года на выполненные работы </w:t>
      </w:r>
      <w:r w:rsidRPr="000A728B">
        <w:t>с момента (дня) подписания сторонами акта приёмки полного объёма работ.</w:t>
      </w:r>
      <w:r w:rsidRPr="000A728B">
        <w:rPr>
          <w:spacing w:val="-8"/>
        </w:rPr>
        <w:t xml:space="preserve"> </w:t>
      </w:r>
    </w:p>
    <w:p w:rsidR="000A728B" w:rsidRPr="000A728B" w:rsidRDefault="000A728B" w:rsidP="000A728B">
      <w:pPr>
        <w:spacing w:after="0"/>
        <w:ind w:firstLine="567"/>
        <w:rPr>
          <w:spacing w:val="-8"/>
        </w:rPr>
      </w:pPr>
      <w:r w:rsidRPr="000A728B">
        <w:rPr>
          <w:spacing w:val="-8"/>
        </w:rPr>
        <w:t>Гарантийные сроки на оборудование, установленное в ходе обустройства пешеходных переходов светофорами Т7 и освещением с питанием от автономных источников:</w:t>
      </w:r>
    </w:p>
    <w:p w:rsidR="000A728B" w:rsidRPr="000A728B" w:rsidRDefault="000A728B" w:rsidP="000A728B">
      <w:pPr>
        <w:spacing w:after="0"/>
        <w:ind w:firstLine="567"/>
        <w:rPr>
          <w:spacing w:val="-8"/>
        </w:rPr>
      </w:pPr>
      <w:r w:rsidRPr="000A728B">
        <w:rPr>
          <w:spacing w:val="-8"/>
        </w:rPr>
        <w:t>1.</w:t>
      </w:r>
      <w:r w:rsidRPr="000A728B">
        <w:rPr>
          <w:spacing w:val="-8"/>
        </w:rPr>
        <w:tab/>
        <w:t>Аккумулятор - не менее 2 (двух) лет;</w:t>
      </w:r>
    </w:p>
    <w:p w:rsidR="000A728B" w:rsidRPr="000A728B" w:rsidRDefault="000A728B" w:rsidP="000A728B">
      <w:pPr>
        <w:spacing w:after="0"/>
        <w:ind w:firstLine="567"/>
        <w:rPr>
          <w:spacing w:val="-8"/>
        </w:rPr>
      </w:pPr>
      <w:r w:rsidRPr="000A728B">
        <w:rPr>
          <w:spacing w:val="-8"/>
        </w:rPr>
        <w:t>2.</w:t>
      </w:r>
      <w:r w:rsidRPr="000A728B">
        <w:rPr>
          <w:spacing w:val="-8"/>
        </w:rPr>
        <w:tab/>
        <w:t>Опоры – не менее 5 (пяти) лет;</w:t>
      </w:r>
    </w:p>
    <w:p w:rsidR="000A728B" w:rsidRPr="000A728B" w:rsidRDefault="000A728B" w:rsidP="000A728B">
      <w:pPr>
        <w:spacing w:after="0"/>
        <w:ind w:firstLine="567"/>
        <w:rPr>
          <w:spacing w:val="-8"/>
        </w:rPr>
      </w:pPr>
      <w:r w:rsidRPr="000A728B">
        <w:rPr>
          <w:spacing w:val="-8"/>
        </w:rPr>
        <w:t>3.</w:t>
      </w:r>
      <w:r w:rsidRPr="000A728B">
        <w:rPr>
          <w:spacing w:val="-8"/>
        </w:rPr>
        <w:tab/>
        <w:t>Фотоэлектрический модуль - не менее 10 (десяти) лет на материалы и качество изготовления.</w:t>
      </w:r>
    </w:p>
    <w:p w:rsidR="000A728B" w:rsidRPr="000A728B" w:rsidRDefault="000A728B" w:rsidP="000A728B">
      <w:pPr>
        <w:spacing w:after="0"/>
        <w:ind w:firstLine="567"/>
        <w:rPr>
          <w:spacing w:val="-8"/>
        </w:rPr>
      </w:pPr>
      <w:r w:rsidRPr="000A728B">
        <w:rPr>
          <w:spacing w:val="-8"/>
        </w:rPr>
        <w:t>Гарантийный срок на используемые товары (материалы) должен быть не менее срока, установленного производителем (заводом изготовителем).</w:t>
      </w:r>
    </w:p>
    <w:p w:rsidR="000A728B" w:rsidRPr="000A728B" w:rsidRDefault="000A728B" w:rsidP="000A728B">
      <w:pPr>
        <w:widowControl w:val="0"/>
        <w:suppressAutoHyphens/>
        <w:spacing w:after="0"/>
        <w:ind w:firstLine="567"/>
      </w:pPr>
      <w:r w:rsidRPr="000A728B">
        <w:rPr>
          <w:bCs/>
        </w:rPr>
        <w:t xml:space="preserve"> </w:t>
      </w:r>
      <w:r w:rsidRPr="000A728B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0A728B" w:rsidRPr="000A728B" w:rsidRDefault="000A728B" w:rsidP="000A728B">
      <w:pPr>
        <w:spacing w:after="0"/>
        <w:ind w:firstLine="567"/>
      </w:pPr>
      <w:r w:rsidRPr="000A728B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0A728B" w:rsidRPr="000A728B" w:rsidRDefault="000A728B" w:rsidP="000A728B">
      <w:pPr>
        <w:spacing w:after="0"/>
        <w:ind w:firstLine="567"/>
      </w:pPr>
      <w:r w:rsidRPr="000A728B">
        <w:t xml:space="preserve"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0A728B" w:rsidRPr="000A728B" w:rsidRDefault="000A728B" w:rsidP="000A728B">
      <w:pPr>
        <w:spacing w:after="0"/>
        <w:ind w:firstLine="567"/>
      </w:pPr>
      <w:r w:rsidRPr="000A728B">
        <w:t xml:space="preserve"> Гарантийный срок в этом случае продлевается соответственно на период устранения дефектов.</w:t>
      </w:r>
    </w:p>
    <w:p w:rsidR="000A728B" w:rsidRPr="000A728B" w:rsidRDefault="000A728B" w:rsidP="000A728B">
      <w:pPr>
        <w:spacing w:after="0"/>
        <w:rPr>
          <w:b/>
        </w:rPr>
      </w:pPr>
      <w:r w:rsidRPr="000A728B">
        <w:rPr>
          <w:b/>
          <w:u w:val="single"/>
        </w:rPr>
        <w:t>2.6.</w:t>
      </w:r>
      <w:r w:rsidRPr="000A728B">
        <w:t xml:space="preserve"> </w:t>
      </w:r>
      <w:r w:rsidRPr="000A728B">
        <w:rPr>
          <w:b/>
        </w:rPr>
        <w:t xml:space="preserve">Требования к результатам работ: </w:t>
      </w:r>
    </w:p>
    <w:p w:rsidR="000A728B" w:rsidRPr="000A728B" w:rsidRDefault="000A728B" w:rsidP="000A728B">
      <w:pPr>
        <w:spacing w:after="0"/>
        <w:ind w:firstLine="567"/>
      </w:pPr>
      <w:r w:rsidRPr="000A728B">
        <w:lastRenderedPageBreak/>
        <w:t xml:space="preserve">Подрядчик выполняет все работы, предусмотренные описанием объекта закупки в соответствии со сроками исполнения Контракта. Подрядчик гарантирует завершение работ по объекту в установленные сроки. </w:t>
      </w:r>
    </w:p>
    <w:p w:rsidR="000A728B" w:rsidRPr="000A728B" w:rsidRDefault="000A728B" w:rsidP="000A728B">
      <w:pPr>
        <w:spacing w:after="0"/>
        <w:ind w:firstLine="567"/>
      </w:pPr>
      <w:r w:rsidRPr="000A728B">
        <w:t xml:space="preserve">Используемые материалы и оборудование должны являться новыми, не бывшими в использовании, не поступившими из ремонта. Материалы и изделия, применяемые на объекте, должны иметь действующие сертификаты соответствия, сертификаты качества, сертификаты пожарной безопасности, технические паспорта, протоколы испытаний и разрешены для использования на территории РФ. </w:t>
      </w:r>
    </w:p>
    <w:p w:rsidR="000A728B" w:rsidRPr="000A728B" w:rsidRDefault="000A728B" w:rsidP="000A728B">
      <w:pPr>
        <w:spacing w:after="0"/>
        <w:ind w:firstLine="567"/>
      </w:pPr>
      <w:r w:rsidRPr="000A728B">
        <w:t xml:space="preserve">Контроль качества товаров (материалов), используемых при выполнении работ возлагается на Подрядчика. </w:t>
      </w:r>
    </w:p>
    <w:p w:rsidR="000A728B" w:rsidRPr="000A728B" w:rsidRDefault="000A728B" w:rsidP="000A728B">
      <w:pPr>
        <w:spacing w:after="0"/>
        <w:ind w:firstLine="567"/>
      </w:pPr>
      <w:r w:rsidRPr="000A728B">
        <w:t>Подрядчик несет ответственность за ненадлежащее качество предоставленных им товаров (материалов).</w:t>
      </w:r>
    </w:p>
    <w:p w:rsidR="000A728B" w:rsidRPr="000A728B" w:rsidRDefault="000A728B" w:rsidP="000A728B">
      <w:pPr>
        <w:spacing w:after="0"/>
        <w:ind w:firstLine="567"/>
      </w:pPr>
      <w:r w:rsidRPr="000A728B">
        <w:t>Оборудование, используемое при выполнении работ, самостоятельно не ставится на бухгалтерский учет и отдельно по актам приемки не принимается.</w:t>
      </w:r>
    </w:p>
    <w:p w:rsidR="000A728B" w:rsidRPr="000A728B" w:rsidRDefault="000A728B" w:rsidP="000A728B">
      <w:pPr>
        <w:spacing w:after="0"/>
        <w:ind w:firstLine="567"/>
      </w:pPr>
      <w:r w:rsidRPr="000A728B">
        <w:t>В целях обеспечения безопасности жизни людей при производстве работ необходимо обеспечить выполнение требований ОДМ 218.6.019-2016 «Рекомендации по организации движения и ограждению мест производства дорожных работ», а также согласовать с Заказчиком схемы по установке временных ТСОДД в местах производства краткосрочных работ в соответствии с ОДМ 218.6.019-2016.</w:t>
      </w:r>
    </w:p>
    <w:p w:rsidR="000A728B" w:rsidRPr="000A728B" w:rsidRDefault="000A728B" w:rsidP="000A728B">
      <w:pPr>
        <w:spacing w:after="0"/>
        <w:ind w:firstLine="567"/>
      </w:pPr>
      <w:r w:rsidRPr="000A728B">
        <w:t>Работы необходимо осуществлять без закрытия движения автотранспорта в одном направлении. Режим движения транспорта на период производства работ должен быть обеспечен Подрядчиком временными дорожными знаками (1.20.2(3), 1.25, 3.20, 3.24, 3.25, 4.2.2, 8.2.1, 8.22.2, и другими, в соответствие с ГОСТ Р 52290-2004), дорожными конусами, дорожными пластинами (соответствующие ГОСТ 32758-2014), ограждающими устройствами в соответствии с ОДМ 218.6.019-2016 «Рекомендации по организации движения и ограждению мест производства дорожных работ».</w:t>
      </w:r>
    </w:p>
    <w:p w:rsidR="000A728B" w:rsidRPr="000A728B" w:rsidRDefault="000A728B" w:rsidP="000A728B">
      <w:pPr>
        <w:spacing w:after="0"/>
        <w:ind w:firstLine="567"/>
      </w:pPr>
      <w:r w:rsidRPr="000A728B">
        <w:t xml:space="preserve">К работам допускаются лица, прошедшие специальный инструктаж и обучение. При производстве работ необходимо использование защитных средств и, при нахождении на проезжей части, сигнальных жилетов со светоотражающими элементами. </w:t>
      </w:r>
    </w:p>
    <w:p w:rsidR="000A728B" w:rsidRPr="000A728B" w:rsidRDefault="000A728B" w:rsidP="000A728B">
      <w:pPr>
        <w:spacing w:after="0"/>
        <w:ind w:firstLine="567"/>
      </w:pPr>
      <w:r w:rsidRPr="000A728B">
        <w:t>Для определения качества выполняемых работ и применяемых материалов используется собственная (или арендованная, приобретенная на прочих правах, на основании соответствующего Контракта) аккредитованная или аттестованная испытательная лаборатория Подрядчика с подготовленным персоналом на весь комплекс испытаний, необходимых для оценки качества выполняемых работ и используемых материалов в соответствии с п. 7 СП 48.13330.2019 «СНиП 12-01-2004 Организация строительства» и п. 14.1 СП 78.13330.2012 «Автомобильные дороги».*</w:t>
      </w:r>
    </w:p>
    <w:p w:rsidR="000A728B" w:rsidRPr="000A728B" w:rsidRDefault="000A728B" w:rsidP="000A728B">
      <w:pPr>
        <w:spacing w:after="0"/>
        <w:ind w:firstLine="567"/>
      </w:pPr>
      <w:r w:rsidRPr="000A728B">
        <w:t>В случае если материалы не соответствуют требованиям, они отделяются от пригодных, и возвращаются Подрядчику.</w:t>
      </w:r>
    </w:p>
    <w:p w:rsidR="000A728B" w:rsidRPr="000A728B" w:rsidRDefault="000A728B" w:rsidP="000A728B">
      <w:pPr>
        <w:spacing w:after="0"/>
        <w:ind w:firstLine="567"/>
      </w:pPr>
      <w:r w:rsidRPr="000A728B">
        <w:t>Подрядчик обязан предоставить исполнительную документацию в соответствии с нормативными требованиями, согласно СП 48.13330.2019 "СНиП 12-01-2004 Организация строительства". В случае несоблюдения нормативных требований в исполнительной документации, Заказчик вправе не принимать выполненные работы.</w:t>
      </w:r>
    </w:p>
    <w:p w:rsidR="000A728B" w:rsidRPr="000A728B" w:rsidRDefault="000A728B" w:rsidP="000A728B">
      <w:pPr>
        <w:suppressAutoHyphens/>
        <w:spacing w:after="0"/>
      </w:pPr>
      <w:r w:rsidRPr="000A728B">
        <w:rPr>
          <w:b/>
          <w:u w:val="single"/>
        </w:rPr>
        <w:t>2.7.</w:t>
      </w:r>
      <w:r w:rsidRPr="000A728B">
        <w:t xml:space="preserve"> </w:t>
      </w:r>
      <w:r w:rsidRPr="000A728B">
        <w:rPr>
          <w:b/>
        </w:rPr>
        <w:t>Требования к приемке работ:</w:t>
      </w:r>
      <w:r w:rsidRPr="000A728B">
        <w:t xml:space="preserve"> </w:t>
      </w:r>
    </w:p>
    <w:p w:rsidR="000A728B" w:rsidRPr="000A728B" w:rsidRDefault="000A728B" w:rsidP="000A728B">
      <w:pPr>
        <w:spacing w:after="0"/>
        <w:ind w:firstLine="567"/>
      </w:pPr>
      <w:r w:rsidRPr="000A728B">
        <w:t xml:space="preserve"> За 3 дня до приемки работ Подрядчик извещает Заказчика. Подрядчик прилагает (при необходимости):</w:t>
      </w:r>
      <w:r w:rsidRPr="000A728B">
        <w:rPr>
          <w:b/>
        </w:rPr>
        <w:t xml:space="preserve"> </w:t>
      </w:r>
      <w:r w:rsidRPr="000A728B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0A728B" w:rsidRPr="000A728B" w:rsidRDefault="000A728B" w:rsidP="000A728B">
      <w:pPr>
        <w:widowControl w:val="0"/>
        <w:autoSpaceDE w:val="0"/>
        <w:autoSpaceDN w:val="0"/>
        <w:adjustRightInd w:val="0"/>
        <w:spacing w:after="0"/>
        <w:rPr>
          <w:b/>
          <w:u w:val="single"/>
        </w:rPr>
      </w:pPr>
      <w:r w:rsidRPr="000A728B">
        <w:rPr>
          <w:b/>
          <w:u w:val="single"/>
        </w:rPr>
        <w:t xml:space="preserve">3. Требования к материалам, используемым для выполнения работ </w:t>
      </w:r>
    </w:p>
    <w:p w:rsidR="000A728B" w:rsidRPr="000A728B" w:rsidRDefault="000A728B" w:rsidP="000A728B">
      <w:pPr>
        <w:widowControl w:val="0"/>
        <w:autoSpaceDE w:val="0"/>
        <w:autoSpaceDN w:val="0"/>
        <w:adjustRightInd w:val="0"/>
        <w:spacing w:after="0"/>
      </w:pPr>
      <w:r w:rsidRPr="000A728B">
        <w:rPr>
          <w:b/>
          <w:u w:val="single"/>
        </w:rPr>
        <w:t>3.1</w:t>
      </w:r>
      <w:r w:rsidRPr="000A728B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0A728B" w:rsidRPr="000A728B" w:rsidRDefault="000A728B" w:rsidP="000A728B">
      <w:pPr>
        <w:tabs>
          <w:tab w:val="left" w:pos="360"/>
        </w:tabs>
        <w:spacing w:after="0"/>
        <w:ind w:firstLine="567"/>
        <w:rPr>
          <w:b/>
        </w:rPr>
      </w:pPr>
      <w:r w:rsidRPr="000A728B">
        <w:t xml:space="preserve">Все применяемые Подрядчиком материалы, оборудование, конструкции и детали должны быть исключительно новыми, не использованными  ранее. Используемые материалы, должны быть новым товаром (товаром, который не был в употреблении, в ремонте, в том числе, </w:t>
      </w:r>
      <w:r w:rsidRPr="000A728B">
        <w:lastRenderedPageBreak/>
        <w:t>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</w:p>
    <w:p w:rsidR="000A728B" w:rsidRPr="000A728B" w:rsidRDefault="000A728B" w:rsidP="000A728B">
      <w:pPr>
        <w:tabs>
          <w:tab w:val="left" w:pos="360"/>
        </w:tabs>
        <w:spacing w:after="0"/>
        <w:ind w:firstLine="567"/>
      </w:pPr>
      <w:r w:rsidRPr="000A728B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0A728B" w:rsidRPr="000A728B" w:rsidRDefault="000A728B" w:rsidP="000A728B">
      <w:pPr>
        <w:tabs>
          <w:tab w:val="left" w:pos="360"/>
        </w:tabs>
        <w:spacing w:after="0"/>
        <w:ind w:firstLine="567"/>
      </w:pPr>
    </w:p>
    <w:p w:rsidR="000A728B" w:rsidRPr="000A728B" w:rsidRDefault="000A728B" w:rsidP="000A728B">
      <w:pPr>
        <w:suppressLineNumbers/>
        <w:shd w:val="clear" w:color="auto" w:fill="FFFFFF"/>
        <w:spacing w:after="0"/>
        <w:ind w:firstLine="567"/>
        <w:rPr>
          <w:i/>
        </w:rPr>
      </w:pPr>
      <w:r w:rsidRPr="000A728B">
        <w:rPr>
          <w:i/>
        </w:rPr>
        <w:t>Примечания:</w:t>
      </w:r>
    </w:p>
    <w:p w:rsidR="000A728B" w:rsidRPr="000A728B" w:rsidRDefault="000A728B" w:rsidP="000A728B">
      <w:pPr>
        <w:suppressLineNumbers/>
        <w:shd w:val="clear" w:color="auto" w:fill="FFFFFF"/>
        <w:spacing w:after="0"/>
        <w:ind w:firstLine="567"/>
        <w:rPr>
          <w:i/>
        </w:rPr>
      </w:pPr>
      <w:r w:rsidRPr="000A728B">
        <w:rPr>
          <w:i/>
        </w:rPr>
        <w:t>*Если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</w:r>
    </w:p>
    <w:bookmarkEnd w:id="0"/>
    <w:p w:rsidR="000A728B" w:rsidRDefault="000A728B" w:rsidP="000A728B">
      <w:pPr>
        <w:rPr>
          <w:b/>
        </w:rPr>
      </w:pPr>
    </w:p>
    <w:sectPr w:rsidR="000A728B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0DC" w:rsidRDefault="000970DC" w:rsidP="003C316D">
      <w:pPr>
        <w:spacing w:after="0"/>
      </w:pPr>
      <w:r>
        <w:separator/>
      </w:r>
    </w:p>
  </w:endnote>
  <w:endnote w:type="continuationSeparator" w:id="0">
    <w:p w:rsidR="000970DC" w:rsidRDefault="000970DC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0DC" w:rsidRDefault="000970DC" w:rsidP="003C316D">
      <w:pPr>
        <w:spacing w:after="0"/>
      </w:pPr>
      <w:r>
        <w:separator/>
      </w:r>
    </w:p>
  </w:footnote>
  <w:footnote w:type="continuationSeparator" w:id="0">
    <w:p w:rsidR="000970DC" w:rsidRDefault="000970DC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0DC"/>
    <w:rsid w:val="00097332"/>
    <w:rsid w:val="000A57D7"/>
    <w:rsid w:val="000A728B"/>
    <w:rsid w:val="000B4845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D4C08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3450F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67443"/>
    <w:rsid w:val="00593ED3"/>
    <w:rsid w:val="005A22E1"/>
    <w:rsid w:val="005A2E52"/>
    <w:rsid w:val="005D2462"/>
    <w:rsid w:val="005D5FBE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57745"/>
    <w:rsid w:val="00860386"/>
    <w:rsid w:val="00874272"/>
    <w:rsid w:val="0088001D"/>
    <w:rsid w:val="008827D5"/>
    <w:rsid w:val="0088445F"/>
    <w:rsid w:val="008A35B1"/>
    <w:rsid w:val="008A6790"/>
    <w:rsid w:val="008A7E5C"/>
    <w:rsid w:val="008B30F2"/>
    <w:rsid w:val="008E2533"/>
    <w:rsid w:val="008F7BE8"/>
    <w:rsid w:val="009031D0"/>
    <w:rsid w:val="00916F05"/>
    <w:rsid w:val="00922022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70A"/>
    <w:rsid w:val="009F582B"/>
    <w:rsid w:val="00A040A2"/>
    <w:rsid w:val="00A05953"/>
    <w:rsid w:val="00A16C21"/>
    <w:rsid w:val="00A16F52"/>
    <w:rsid w:val="00A32115"/>
    <w:rsid w:val="00A40AAF"/>
    <w:rsid w:val="00A515CA"/>
    <w:rsid w:val="00A93B40"/>
    <w:rsid w:val="00A93DD0"/>
    <w:rsid w:val="00A95E6C"/>
    <w:rsid w:val="00AA417B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BE3F20"/>
    <w:rsid w:val="00C043D6"/>
    <w:rsid w:val="00C04F6B"/>
    <w:rsid w:val="00C2588C"/>
    <w:rsid w:val="00C34C3F"/>
    <w:rsid w:val="00C6478A"/>
    <w:rsid w:val="00C6688B"/>
    <w:rsid w:val="00C6798B"/>
    <w:rsid w:val="00C91255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B7531"/>
    <w:rsid w:val="00DD254F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C3770"/>
    <w:rsid w:val="00ED1420"/>
    <w:rsid w:val="00EF1B00"/>
    <w:rsid w:val="00F0333D"/>
    <w:rsid w:val="00F20EFF"/>
    <w:rsid w:val="00F747C3"/>
    <w:rsid w:val="00FC0A50"/>
    <w:rsid w:val="00FC3703"/>
    <w:rsid w:val="00FC7A96"/>
    <w:rsid w:val="00FD241E"/>
    <w:rsid w:val="00FF1432"/>
    <w:rsid w:val="00FF191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3265</Words>
  <Characters>18617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98</cp:revision>
  <cp:lastPrinted>2023-04-12T08:09:00Z</cp:lastPrinted>
  <dcterms:created xsi:type="dcterms:W3CDTF">2022-02-01T11:21:00Z</dcterms:created>
  <dcterms:modified xsi:type="dcterms:W3CDTF">2025-06-20T06:08:00Z</dcterms:modified>
</cp:coreProperties>
</file>