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171504" w:rsidRPr="004A3C69" w:rsidTr="005E2591">
        <w:trPr>
          <w:jc w:val="right"/>
        </w:trPr>
        <w:tc>
          <w:tcPr>
            <w:tcW w:w="4786" w:type="dxa"/>
          </w:tcPr>
          <w:p w:rsidR="00146F90" w:rsidRDefault="0055661C" w:rsidP="00146F90">
            <w:pPr>
              <w:pStyle w:val="2"/>
              <w:keepNext w:val="0"/>
              <w:spacing w:before="0" w:after="0"/>
              <w:jc w:val="right"/>
              <w:rPr>
                <w:rFonts w:ascii="Times New Roman" w:hAnsi="Times New Roman"/>
                <w:b w:val="0"/>
                <w:bCs w:val="0"/>
                <w:i w:val="0"/>
                <w:sz w:val="24"/>
                <w:szCs w:val="24"/>
              </w:rPr>
            </w:pPr>
            <w:r w:rsidRPr="0055661C">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1</w:t>
            </w:r>
            <w:r w:rsidR="00146F90">
              <w:rPr>
                <w:rFonts w:ascii="Times New Roman" w:hAnsi="Times New Roman"/>
                <w:b w:val="0"/>
                <w:bCs w:val="0"/>
                <w:i w:val="0"/>
                <w:sz w:val="24"/>
                <w:szCs w:val="24"/>
              </w:rPr>
              <w:t xml:space="preserve"> </w:t>
            </w:r>
          </w:p>
          <w:p w:rsidR="00146F90" w:rsidRDefault="00146F90" w:rsidP="00146F90">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55661C" w:rsidRPr="0055661C">
              <w:rPr>
                <w:rFonts w:ascii="Times New Roman" w:hAnsi="Times New Roman"/>
                <w:b w:val="0"/>
                <w:bCs w:val="0"/>
                <w:i w:val="0"/>
                <w:sz w:val="24"/>
                <w:szCs w:val="24"/>
              </w:rPr>
              <w:t xml:space="preserve"> распоряжению Администрации </w:t>
            </w:r>
          </w:p>
          <w:p w:rsidR="0055661C" w:rsidRPr="0055661C" w:rsidRDefault="0055661C" w:rsidP="00146F90">
            <w:pPr>
              <w:pStyle w:val="2"/>
              <w:keepNext w:val="0"/>
              <w:spacing w:before="0" w:after="0"/>
              <w:jc w:val="right"/>
              <w:rPr>
                <w:rFonts w:ascii="Times New Roman" w:hAnsi="Times New Roman"/>
                <w:b w:val="0"/>
                <w:bCs w:val="0"/>
                <w:i w:val="0"/>
                <w:sz w:val="24"/>
                <w:szCs w:val="24"/>
              </w:rPr>
            </w:pPr>
            <w:r w:rsidRPr="0055661C">
              <w:rPr>
                <w:rFonts w:ascii="Times New Roman" w:hAnsi="Times New Roman"/>
                <w:b w:val="0"/>
                <w:bCs w:val="0"/>
                <w:i w:val="0"/>
                <w:sz w:val="24"/>
                <w:szCs w:val="24"/>
              </w:rPr>
              <w:t>Ленск</w:t>
            </w:r>
            <w:r w:rsidR="001E18FA">
              <w:rPr>
                <w:rFonts w:ascii="Times New Roman" w:hAnsi="Times New Roman"/>
                <w:b w:val="0"/>
                <w:bCs w:val="0"/>
                <w:i w:val="0"/>
                <w:sz w:val="24"/>
                <w:szCs w:val="24"/>
              </w:rPr>
              <w:t>ого</w:t>
            </w:r>
            <w:r w:rsidRPr="0055661C">
              <w:rPr>
                <w:rFonts w:ascii="Times New Roman" w:hAnsi="Times New Roman"/>
                <w:b w:val="0"/>
                <w:bCs w:val="0"/>
                <w:i w:val="0"/>
                <w:sz w:val="24"/>
                <w:szCs w:val="24"/>
              </w:rPr>
              <w:t xml:space="preserve"> муниципальн</w:t>
            </w:r>
            <w:r w:rsidR="001E18FA">
              <w:rPr>
                <w:rFonts w:ascii="Times New Roman" w:hAnsi="Times New Roman"/>
                <w:b w:val="0"/>
                <w:bCs w:val="0"/>
                <w:i w:val="0"/>
                <w:sz w:val="24"/>
                <w:szCs w:val="24"/>
              </w:rPr>
              <w:t>ого</w:t>
            </w:r>
            <w:r w:rsidRPr="0055661C">
              <w:rPr>
                <w:rFonts w:ascii="Times New Roman" w:hAnsi="Times New Roman"/>
                <w:b w:val="0"/>
                <w:bCs w:val="0"/>
                <w:i w:val="0"/>
                <w:sz w:val="24"/>
                <w:szCs w:val="24"/>
              </w:rPr>
              <w:t xml:space="preserve"> район</w:t>
            </w:r>
            <w:r w:rsidR="001E18FA">
              <w:rPr>
                <w:rFonts w:ascii="Times New Roman" w:hAnsi="Times New Roman"/>
                <w:b w:val="0"/>
                <w:bCs w:val="0"/>
                <w:i w:val="0"/>
                <w:sz w:val="24"/>
                <w:szCs w:val="24"/>
              </w:rPr>
              <w:t>а</w:t>
            </w:r>
            <w:r w:rsidRPr="0055661C">
              <w:rPr>
                <w:rFonts w:ascii="Times New Roman" w:hAnsi="Times New Roman"/>
                <w:b w:val="0"/>
                <w:bCs w:val="0"/>
                <w:i w:val="0"/>
                <w:sz w:val="24"/>
                <w:szCs w:val="24"/>
              </w:rPr>
              <w:t xml:space="preserve"> </w:t>
            </w:r>
          </w:p>
          <w:p w:rsidR="0024349D" w:rsidRPr="00146F90" w:rsidRDefault="00146F90" w:rsidP="00146F90">
            <w:pPr>
              <w:autoSpaceDE w:val="0"/>
              <w:autoSpaceDN w:val="0"/>
              <w:adjustRightInd w:val="0"/>
              <w:spacing w:after="0"/>
              <w:jc w:val="right"/>
              <w:rPr>
                <w:bCs/>
              </w:rPr>
            </w:pPr>
            <w:r w:rsidRPr="00321420">
              <w:rPr>
                <w:bCs/>
              </w:rPr>
              <w:t>от 2 июля 2025 г. № 184</w:t>
            </w:r>
          </w:p>
        </w:tc>
      </w:tr>
    </w:tbl>
    <w:p w:rsidR="00146F90" w:rsidRDefault="00146F90" w:rsidP="00146F90">
      <w:pPr>
        <w:spacing w:after="0"/>
        <w:jc w:val="center"/>
        <w:rPr>
          <w:b/>
        </w:rPr>
      </w:pPr>
    </w:p>
    <w:p w:rsidR="00077569" w:rsidRPr="001C5F37" w:rsidRDefault="00A93DD0" w:rsidP="00146F90">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r w:rsidR="003C6C75" w:rsidRPr="003417FF">
        <w:rPr>
          <w:sz w:val="28"/>
          <w:szCs w:val="28"/>
        </w:rPr>
        <w:br/>
      </w:r>
      <w:bookmarkStart w:id="0" w:name="_Toc106773689"/>
    </w:p>
    <w:bookmarkEnd w:id="0"/>
    <w:p w:rsidR="008B5827" w:rsidRPr="008B5827" w:rsidRDefault="008B5827" w:rsidP="008B5827">
      <w:pPr>
        <w:spacing w:after="0"/>
        <w:ind w:firstLine="567"/>
        <w:rPr>
          <w:b/>
        </w:rPr>
      </w:pPr>
      <w:r w:rsidRPr="008B5827">
        <w:rPr>
          <w:b/>
        </w:rPr>
        <w:t>1. «Общие сведения»</w:t>
      </w:r>
    </w:p>
    <w:p w:rsidR="008B5827" w:rsidRPr="008B5827" w:rsidRDefault="008B5827" w:rsidP="00982775">
      <w:pPr>
        <w:spacing w:after="0"/>
        <w:ind w:firstLine="567"/>
      </w:pPr>
      <w:r w:rsidRPr="008B5827">
        <w:rPr>
          <w:b/>
        </w:rPr>
        <w:t>1.1.</w:t>
      </w:r>
      <w:r w:rsidR="00982775">
        <w:rPr>
          <w:b/>
        </w:rPr>
        <w:t>Предмет закупки</w:t>
      </w:r>
      <w:r w:rsidRPr="008B5827">
        <w:rPr>
          <w:b/>
        </w:rPr>
        <w:t xml:space="preserve">: </w:t>
      </w:r>
      <w:r w:rsidR="00982775">
        <w:t xml:space="preserve">Выполнение работ по строительству универсальной спортивной площадки </w:t>
      </w:r>
      <w:proofErr w:type="gramStart"/>
      <w:r w:rsidR="00982775">
        <w:t>в</w:t>
      </w:r>
      <w:proofErr w:type="gramEnd"/>
      <w:r w:rsidR="00982775">
        <w:t xml:space="preserve"> </w:t>
      </w:r>
      <w:proofErr w:type="gramStart"/>
      <w:r w:rsidR="00982775">
        <w:t>с</w:t>
      </w:r>
      <w:proofErr w:type="gramEnd"/>
      <w:r w:rsidR="00982775">
        <w:t>. Яренск 2 этап - устройство полиуретанового покрытия с нанесением спортивной разметки в части реализации инициативных проектов в рамках регионального проекта «Комфортное Поморье».</w:t>
      </w:r>
    </w:p>
    <w:p w:rsidR="008B5827" w:rsidRPr="008B5827" w:rsidRDefault="008B5827" w:rsidP="008B5827">
      <w:pPr>
        <w:spacing w:after="0"/>
        <w:ind w:firstLine="567"/>
      </w:pPr>
      <w:r w:rsidRPr="008B5827">
        <w:rPr>
          <w:b/>
        </w:rPr>
        <w:t xml:space="preserve">1.2. Источник финансирования: </w:t>
      </w:r>
      <w:r w:rsidR="007842A0" w:rsidRPr="007842A0">
        <w:t>средств</w:t>
      </w:r>
      <w:r w:rsidR="007842A0">
        <w:t>а</w:t>
      </w:r>
      <w:r w:rsidR="007842A0" w:rsidRPr="007842A0">
        <w:t xml:space="preserve"> муниципального бюджета МО «Ленский муниципальный район», сформированны</w:t>
      </w:r>
      <w:r w:rsidR="007842A0">
        <w:t>е</w:t>
      </w:r>
      <w:r w:rsidR="007842A0" w:rsidRPr="007842A0">
        <w:t xml:space="preserve"> за счет иного межбюджетного трансферта, имеющего целевое назначение на реализацию инициативных проектов в рамках регионального проекта «Комфортное Поморье» в соответствии с лимитами бюджетных обязательств, доведенных до Заказчика как получателю средств областного бюджета (Соглашение о предоставлении  иного межбюджетного трансферта, имеющего целевое назначение, из областного бюджета  бюджету Ленского муниципального района Архангельской области от 12.05.2025 № 301-25-33-пф-24-008 (далее – Соглашение).   </w:t>
      </w:r>
    </w:p>
    <w:p w:rsidR="008B5827" w:rsidRPr="008B5827" w:rsidRDefault="008B5827" w:rsidP="008B5827">
      <w:pPr>
        <w:tabs>
          <w:tab w:val="left" w:pos="709"/>
        </w:tabs>
        <w:spacing w:after="0"/>
        <w:ind w:firstLine="567"/>
        <w:contextualSpacing/>
        <w:rPr>
          <w:bCs/>
        </w:rPr>
      </w:pPr>
      <w:r w:rsidRPr="008B5827">
        <w:rPr>
          <w:b/>
          <w:bCs/>
        </w:rPr>
        <w:t xml:space="preserve">1.3. Место выполнения работ: </w:t>
      </w:r>
      <w:r w:rsidRPr="008B5827">
        <w:rPr>
          <w:bCs/>
        </w:rPr>
        <w:t>универсальная спортивная площадка открытого типа на территории</w:t>
      </w:r>
      <w:r w:rsidRPr="008B5827">
        <w:t xml:space="preserve"> МБОУ «</w:t>
      </w:r>
      <w:proofErr w:type="spellStart"/>
      <w:r w:rsidRPr="008B5827">
        <w:t>Яренская</w:t>
      </w:r>
      <w:proofErr w:type="spellEnd"/>
      <w:r w:rsidRPr="008B5827">
        <w:t xml:space="preserve"> СШ» </w:t>
      </w:r>
      <w:r w:rsidRPr="008B5827">
        <w:rPr>
          <w:bCs/>
        </w:rPr>
        <w:t>в с. Яренск Ленского района Архангельской области.</w:t>
      </w:r>
    </w:p>
    <w:p w:rsidR="008B5827" w:rsidRPr="008B5827" w:rsidRDefault="008B5827" w:rsidP="008B5827">
      <w:pPr>
        <w:spacing w:after="0"/>
        <w:ind w:firstLine="567"/>
        <w:rPr>
          <w:b/>
        </w:rPr>
      </w:pPr>
      <w:r w:rsidRPr="008B5827">
        <w:rPr>
          <w:b/>
        </w:rPr>
        <w:t>1.4.  Сроки начала и окончания работ:</w:t>
      </w:r>
      <w:r w:rsidRPr="008B5827">
        <w:t xml:space="preserve"> </w:t>
      </w:r>
    </w:p>
    <w:p w:rsidR="008B5827" w:rsidRPr="008B5827" w:rsidRDefault="008B5827" w:rsidP="008B5827">
      <w:pPr>
        <w:spacing w:after="0"/>
        <w:ind w:firstLine="567"/>
      </w:pPr>
      <w:r w:rsidRPr="008B5827">
        <w:t>Начало работ: с момента заключения контракта.</w:t>
      </w:r>
    </w:p>
    <w:p w:rsidR="008B5827" w:rsidRPr="008B5827" w:rsidRDefault="008B5827" w:rsidP="008B5827">
      <w:pPr>
        <w:spacing w:after="0"/>
        <w:ind w:firstLine="567"/>
        <w:rPr>
          <w:color w:val="FF0000"/>
        </w:rPr>
      </w:pPr>
      <w:r w:rsidRPr="008B5827">
        <w:t>Окончание работ: 29.08.2025 г.</w:t>
      </w:r>
      <w:r w:rsidRPr="008B5827">
        <w:rPr>
          <w:color w:val="FF0000"/>
        </w:rPr>
        <w:t xml:space="preserve">  </w:t>
      </w:r>
    </w:p>
    <w:p w:rsidR="008B5827" w:rsidRPr="008B5827" w:rsidRDefault="008B5827" w:rsidP="008B5827">
      <w:pPr>
        <w:spacing w:after="0"/>
        <w:ind w:firstLine="567"/>
        <w:rPr>
          <w:color w:val="FF0000"/>
        </w:rPr>
      </w:pPr>
      <w:r w:rsidRPr="008B5827">
        <w:t>Подрядчик имеет право на досрочную сдачу выполненных работ.</w:t>
      </w:r>
    </w:p>
    <w:p w:rsidR="008B5827" w:rsidRPr="008B5827" w:rsidRDefault="008B5827" w:rsidP="008B5827">
      <w:pPr>
        <w:tabs>
          <w:tab w:val="left" w:pos="1134"/>
          <w:tab w:val="left" w:pos="1276"/>
        </w:tabs>
        <w:spacing w:after="0"/>
        <w:ind w:firstLine="567"/>
        <w:rPr>
          <w:bCs/>
        </w:rPr>
      </w:pPr>
      <w:r w:rsidRPr="008B5827">
        <w:rPr>
          <w:b/>
          <w:bCs/>
        </w:rPr>
        <w:t>1.5. Инициативный проект:</w:t>
      </w:r>
      <w:r w:rsidRPr="008B5827">
        <w:rPr>
          <w:bCs/>
        </w:rPr>
        <w:t xml:space="preserve"> «</w:t>
      </w:r>
      <w:proofErr w:type="spellStart"/>
      <w:r w:rsidRPr="008B5827">
        <w:rPr>
          <w:bCs/>
        </w:rPr>
        <w:t>Спорт-Движ</w:t>
      </w:r>
      <w:proofErr w:type="spellEnd"/>
      <w:r w:rsidRPr="008B5827">
        <w:rPr>
          <w:bCs/>
        </w:rPr>
        <w:t>» с. Яренск.</w:t>
      </w:r>
    </w:p>
    <w:p w:rsidR="008B5827" w:rsidRPr="008B5827" w:rsidRDefault="008B5827" w:rsidP="008B5827">
      <w:pPr>
        <w:tabs>
          <w:tab w:val="left" w:pos="1134"/>
          <w:tab w:val="left" w:pos="1276"/>
        </w:tabs>
        <w:spacing w:after="0"/>
        <w:ind w:firstLine="567"/>
        <w:rPr>
          <w:bCs/>
        </w:rPr>
      </w:pPr>
    </w:p>
    <w:p w:rsidR="008B5827" w:rsidRPr="008B5827" w:rsidRDefault="008B5827" w:rsidP="008B5827">
      <w:pPr>
        <w:tabs>
          <w:tab w:val="left" w:pos="1134"/>
          <w:tab w:val="left" w:pos="1276"/>
        </w:tabs>
        <w:spacing w:after="0"/>
        <w:ind w:firstLine="567"/>
        <w:rPr>
          <w:b/>
          <w:bCs/>
        </w:rPr>
      </w:pPr>
      <w:r w:rsidRPr="008B5827">
        <w:rPr>
          <w:b/>
          <w:bCs/>
        </w:rPr>
        <w:t>2.Основания для выполнения работ</w:t>
      </w:r>
    </w:p>
    <w:p w:rsidR="008B5827" w:rsidRPr="008B5827" w:rsidRDefault="008B5827" w:rsidP="008B5827">
      <w:pPr>
        <w:autoSpaceDE w:val="0"/>
        <w:autoSpaceDN w:val="0"/>
        <w:adjustRightInd w:val="0"/>
        <w:spacing w:after="0"/>
        <w:ind w:firstLine="567"/>
      </w:pPr>
      <w:r w:rsidRPr="008B5827">
        <w:rPr>
          <w:b/>
        </w:rPr>
        <w:t>2.1.</w:t>
      </w:r>
      <w:r w:rsidRPr="008B5827">
        <w:t xml:space="preserve"> Локальный ресурсный сметный расчет № 14-2025 на выполнение работ по устройству полиуретанового покрытия с нанесением спортивной разметки на универсальной спортивной площадке в с. Яренск в части реализации инициативных проектов в рамках регионального проекта «Комфортное Поморье». </w:t>
      </w:r>
    </w:p>
    <w:p w:rsidR="008B5827" w:rsidRPr="008B5827" w:rsidRDefault="008B5827" w:rsidP="008B5827">
      <w:pPr>
        <w:autoSpaceDE w:val="0"/>
        <w:autoSpaceDN w:val="0"/>
        <w:adjustRightInd w:val="0"/>
        <w:spacing w:after="0"/>
        <w:ind w:firstLine="567"/>
      </w:pPr>
      <w:r w:rsidRPr="008B5827">
        <w:rPr>
          <w:b/>
        </w:rPr>
        <w:t>2.2.</w:t>
      </w:r>
      <w:r w:rsidRPr="008B5827">
        <w:t xml:space="preserve"> Государственная программа Архангельской области «Совершенствование государственного управления и местного самоуправления, развитие институтов гражданского общества в Архангельской области», утвержденная постановлением Правительства Архангельской области от 10.10.2019 № 548-пп,  Положение о порядке рассмотрения инициативных проектов, выдвигаемых для получения финансовой поддержки из областного бюджета в рамках регионального проекта «Комфортное поморье», утвержденное постановлением администрации МО «Ленский муниципальный район» от 10.10.2019 года № 548-пп, муниципальная программа </w:t>
      </w:r>
      <w:bookmarkStart w:id="1" w:name="_Hlk154060507"/>
      <w:r w:rsidRPr="008B5827">
        <w:t>«Развитие местного самоуправления в МО «Ленский муниципальный район» и поддержка социально ориентированных некоммерческих организаций»</w:t>
      </w:r>
      <w:bookmarkEnd w:id="1"/>
      <w:r w:rsidRPr="008B5827">
        <w:t>, утвержденная постановлением администрации МО «Ленский муниципальный район» от 16.10.2019 № 634-н ( в редакции  № 975-н от 27 декабря 2023 года).</w:t>
      </w:r>
    </w:p>
    <w:p w:rsidR="008B5827" w:rsidRPr="008B5827" w:rsidRDefault="008B5827" w:rsidP="008B5827">
      <w:pPr>
        <w:tabs>
          <w:tab w:val="left" w:pos="1134"/>
          <w:tab w:val="left" w:pos="1276"/>
        </w:tabs>
        <w:spacing w:after="0"/>
        <w:ind w:firstLine="567"/>
        <w:rPr>
          <w:b/>
        </w:rPr>
      </w:pPr>
    </w:p>
    <w:p w:rsidR="008B5827" w:rsidRPr="008B5827" w:rsidRDefault="008B5827" w:rsidP="008B5827">
      <w:pPr>
        <w:tabs>
          <w:tab w:val="left" w:pos="1134"/>
          <w:tab w:val="left" w:pos="1276"/>
        </w:tabs>
        <w:spacing w:after="0"/>
        <w:ind w:firstLine="567"/>
        <w:rPr>
          <w:b/>
          <w:bCs/>
        </w:rPr>
      </w:pPr>
      <w:r w:rsidRPr="008B5827">
        <w:rPr>
          <w:b/>
        </w:rPr>
        <w:t>3.</w:t>
      </w:r>
      <w:r w:rsidRPr="008B5827">
        <w:rPr>
          <w:b/>
          <w:bCs/>
        </w:rPr>
        <w:t xml:space="preserve"> Описание объекта закупки на поставку/основные характеристики объекта</w:t>
      </w:r>
    </w:p>
    <w:p w:rsidR="008B5827" w:rsidRPr="008B5827" w:rsidRDefault="008B5827" w:rsidP="008B5827">
      <w:pPr>
        <w:tabs>
          <w:tab w:val="left" w:pos="1134"/>
          <w:tab w:val="left" w:pos="1276"/>
        </w:tabs>
        <w:spacing w:after="0"/>
        <w:ind w:firstLine="567"/>
        <w:jc w:val="right"/>
      </w:pPr>
      <w:r w:rsidRPr="008B5827">
        <w:t>Таблица №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3"/>
        <w:gridCol w:w="6476"/>
        <w:gridCol w:w="1179"/>
        <w:gridCol w:w="1181"/>
      </w:tblGrid>
      <w:tr w:rsidR="008B5827" w:rsidRPr="008B5827" w:rsidTr="00CF2F5C">
        <w:trPr>
          <w:trHeight w:val="299"/>
        </w:trPr>
        <w:tc>
          <w:tcPr>
            <w:tcW w:w="673" w:type="dxa"/>
            <w:noWrap/>
            <w:vAlign w:val="center"/>
          </w:tcPr>
          <w:p w:rsidR="008B5827" w:rsidRPr="008B5827" w:rsidRDefault="008B5827" w:rsidP="008B5827">
            <w:pPr>
              <w:spacing w:after="0"/>
              <w:ind w:left="29"/>
              <w:contextualSpacing/>
              <w:jc w:val="center"/>
              <w:rPr>
                <w:b/>
                <w:bCs/>
                <w:color w:val="000000"/>
              </w:rPr>
            </w:pPr>
            <w:r w:rsidRPr="008B5827">
              <w:rPr>
                <w:b/>
                <w:bCs/>
                <w:color w:val="000000"/>
              </w:rPr>
              <w:t>№</w:t>
            </w:r>
          </w:p>
        </w:tc>
        <w:tc>
          <w:tcPr>
            <w:tcW w:w="6476" w:type="dxa"/>
            <w:noWrap/>
            <w:vAlign w:val="center"/>
          </w:tcPr>
          <w:p w:rsidR="008B5827" w:rsidRPr="008B5827" w:rsidRDefault="008B5827" w:rsidP="008B5827">
            <w:pPr>
              <w:spacing w:after="0"/>
              <w:jc w:val="center"/>
              <w:rPr>
                <w:b/>
                <w:bCs/>
                <w:color w:val="000000"/>
              </w:rPr>
            </w:pPr>
            <w:r w:rsidRPr="008B5827">
              <w:rPr>
                <w:b/>
                <w:bCs/>
                <w:color w:val="000000"/>
              </w:rPr>
              <w:t>Наименование  работ</w:t>
            </w:r>
          </w:p>
        </w:tc>
        <w:tc>
          <w:tcPr>
            <w:tcW w:w="1179" w:type="dxa"/>
            <w:noWrap/>
            <w:vAlign w:val="center"/>
          </w:tcPr>
          <w:p w:rsidR="008B5827" w:rsidRPr="008B5827" w:rsidRDefault="008B5827" w:rsidP="008B5827">
            <w:pPr>
              <w:spacing w:after="0"/>
              <w:jc w:val="center"/>
              <w:rPr>
                <w:b/>
                <w:bCs/>
                <w:color w:val="000000"/>
              </w:rPr>
            </w:pPr>
            <w:r w:rsidRPr="008B5827">
              <w:rPr>
                <w:b/>
                <w:bCs/>
                <w:color w:val="000000"/>
              </w:rPr>
              <w:t>Объем</w:t>
            </w:r>
          </w:p>
        </w:tc>
        <w:tc>
          <w:tcPr>
            <w:tcW w:w="1136" w:type="dxa"/>
            <w:noWrap/>
            <w:vAlign w:val="center"/>
          </w:tcPr>
          <w:p w:rsidR="008B5827" w:rsidRPr="008B5827" w:rsidRDefault="008B5827" w:rsidP="008B5827">
            <w:pPr>
              <w:spacing w:after="0"/>
              <w:jc w:val="center"/>
              <w:rPr>
                <w:b/>
                <w:bCs/>
                <w:color w:val="000000"/>
              </w:rPr>
            </w:pPr>
            <w:r w:rsidRPr="008B5827">
              <w:rPr>
                <w:b/>
                <w:bCs/>
                <w:color w:val="000000"/>
              </w:rPr>
              <w:t xml:space="preserve">Ед. </w:t>
            </w:r>
            <w:proofErr w:type="spellStart"/>
            <w:r w:rsidRPr="008B5827">
              <w:rPr>
                <w:b/>
                <w:bCs/>
                <w:color w:val="000000"/>
              </w:rPr>
              <w:t>изм</w:t>
            </w:r>
            <w:proofErr w:type="spellEnd"/>
          </w:p>
        </w:tc>
      </w:tr>
      <w:tr w:rsidR="008B5827" w:rsidRPr="008B5827" w:rsidTr="00CF2F5C">
        <w:trPr>
          <w:trHeight w:val="231"/>
        </w:trPr>
        <w:tc>
          <w:tcPr>
            <w:tcW w:w="9464" w:type="dxa"/>
            <w:gridSpan w:val="4"/>
            <w:noWrap/>
          </w:tcPr>
          <w:p w:rsidR="008B5827" w:rsidRPr="008B5827" w:rsidRDefault="008B5827" w:rsidP="008B5827">
            <w:pPr>
              <w:spacing w:after="0"/>
              <w:jc w:val="center"/>
            </w:pPr>
            <w:r w:rsidRPr="008B5827">
              <w:rPr>
                <w:b/>
              </w:rPr>
              <w:t>Устройство наливного полиуретанового покрытия</w:t>
            </w:r>
          </w:p>
        </w:tc>
      </w:tr>
      <w:tr w:rsidR="008B5827" w:rsidRPr="008B5827" w:rsidTr="00CF2F5C">
        <w:trPr>
          <w:trHeight w:val="231"/>
        </w:trPr>
        <w:tc>
          <w:tcPr>
            <w:tcW w:w="673" w:type="dxa"/>
            <w:noWrap/>
          </w:tcPr>
          <w:p w:rsidR="008B5827" w:rsidRPr="008B5827" w:rsidRDefault="008B5827" w:rsidP="008B5827">
            <w:pPr>
              <w:spacing w:after="0"/>
              <w:ind w:left="29"/>
              <w:jc w:val="center"/>
            </w:pPr>
            <w:r w:rsidRPr="008B5827">
              <w:t>1</w:t>
            </w:r>
          </w:p>
        </w:tc>
        <w:tc>
          <w:tcPr>
            <w:tcW w:w="6476" w:type="dxa"/>
            <w:tcBorders>
              <w:left w:val="nil"/>
            </w:tcBorders>
          </w:tcPr>
          <w:p w:rsidR="008B5827" w:rsidRPr="008B5827" w:rsidRDefault="008B5827" w:rsidP="008B5827">
            <w:pPr>
              <w:spacing w:after="0"/>
              <w:jc w:val="left"/>
            </w:pPr>
            <w:r w:rsidRPr="008B5827">
              <w:t xml:space="preserve">Устройство наливного полиуретанового покрытия спортивных площадок и беговых дорожек толщиной 10 мм </w:t>
            </w:r>
          </w:p>
        </w:tc>
        <w:tc>
          <w:tcPr>
            <w:tcW w:w="1179" w:type="dxa"/>
            <w:noWrap/>
          </w:tcPr>
          <w:p w:rsidR="008B5827" w:rsidRPr="008B5827" w:rsidRDefault="008B5827" w:rsidP="008B5827">
            <w:pPr>
              <w:shd w:val="clear" w:color="auto" w:fill="FFFFFF"/>
              <w:spacing w:after="0"/>
              <w:jc w:val="center"/>
              <w:textAlignment w:val="baseline"/>
            </w:pPr>
            <w:r w:rsidRPr="008B5827">
              <w:t>450</w:t>
            </w:r>
          </w:p>
        </w:tc>
        <w:tc>
          <w:tcPr>
            <w:tcW w:w="1136" w:type="dxa"/>
            <w:noWrap/>
          </w:tcPr>
          <w:p w:rsidR="008B5827" w:rsidRPr="008B5827" w:rsidRDefault="008B5827" w:rsidP="008B5827">
            <w:pPr>
              <w:spacing w:after="0"/>
              <w:jc w:val="center"/>
              <w:rPr>
                <w:vertAlign w:val="superscript"/>
              </w:rPr>
            </w:pPr>
            <w:r w:rsidRPr="008B5827">
              <w:t>кв</w:t>
            </w:r>
            <w:proofErr w:type="gramStart"/>
            <w:r w:rsidRPr="008B5827">
              <w:t>.м</w:t>
            </w:r>
            <w:proofErr w:type="gramEnd"/>
          </w:p>
        </w:tc>
      </w:tr>
      <w:tr w:rsidR="008B5827" w:rsidRPr="008B5827" w:rsidTr="00CF2F5C">
        <w:trPr>
          <w:trHeight w:val="231"/>
        </w:trPr>
        <w:tc>
          <w:tcPr>
            <w:tcW w:w="673" w:type="dxa"/>
            <w:noWrap/>
          </w:tcPr>
          <w:p w:rsidR="008B5827" w:rsidRPr="008B5827" w:rsidRDefault="008B5827" w:rsidP="008B5827">
            <w:pPr>
              <w:spacing w:after="0"/>
              <w:ind w:left="29"/>
              <w:jc w:val="center"/>
            </w:pPr>
            <w:r w:rsidRPr="008B5827">
              <w:t>2</w:t>
            </w:r>
          </w:p>
        </w:tc>
        <w:tc>
          <w:tcPr>
            <w:tcW w:w="6476" w:type="dxa"/>
            <w:tcBorders>
              <w:left w:val="nil"/>
            </w:tcBorders>
          </w:tcPr>
          <w:p w:rsidR="008B5827" w:rsidRPr="008B5827" w:rsidRDefault="008B5827" w:rsidP="008B5827">
            <w:pPr>
              <w:spacing w:after="0"/>
              <w:jc w:val="left"/>
            </w:pPr>
            <w:r w:rsidRPr="008B5827">
              <w:t>Декоративная отделка поверхностей-набивка фриза по трафарету (спортивная разметка полиуретановой краской)</w:t>
            </w:r>
          </w:p>
        </w:tc>
        <w:tc>
          <w:tcPr>
            <w:tcW w:w="1179" w:type="dxa"/>
            <w:noWrap/>
          </w:tcPr>
          <w:p w:rsidR="008B5827" w:rsidRPr="008B5827" w:rsidRDefault="008B5827" w:rsidP="008B5827">
            <w:pPr>
              <w:shd w:val="clear" w:color="auto" w:fill="FFFFFF"/>
              <w:spacing w:after="0"/>
              <w:jc w:val="center"/>
              <w:textAlignment w:val="baseline"/>
            </w:pPr>
            <w:r w:rsidRPr="008B5827">
              <w:t>279</w:t>
            </w:r>
          </w:p>
        </w:tc>
        <w:tc>
          <w:tcPr>
            <w:tcW w:w="1136" w:type="dxa"/>
            <w:noWrap/>
          </w:tcPr>
          <w:p w:rsidR="008B5827" w:rsidRPr="008B5827" w:rsidRDefault="008B5827" w:rsidP="008B5827">
            <w:pPr>
              <w:spacing w:after="0"/>
              <w:jc w:val="center"/>
            </w:pPr>
            <w:r w:rsidRPr="008B5827">
              <w:t>кв</w:t>
            </w:r>
            <w:proofErr w:type="gramStart"/>
            <w:r w:rsidRPr="008B5827">
              <w:t>.м</w:t>
            </w:r>
            <w:proofErr w:type="gramEnd"/>
          </w:p>
        </w:tc>
      </w:tr>
      <w:tr w:rsidR="008B5827" w:rsidRPr="008B5827" w:rsidTr="00CF2F5C">
        <w:trPr>
          <w:trHeight w:val="231"/>
        </w:trPr>
        <w:tc>
          <w:tcPr>
            <w:tcW w:w="9464" w:type="dxa"/>
            <w:gridSpan w:val="4"/>
            <w:noWrap/>
          </w:tcPr>
          <w:p w:rsidR="008B5827" w:rsidRPr="008B5827" w:rsidRDefault="008B5827" w:rsidP="008B5827">
            <w:pPr>
              <w:tabs>
                <w:tab w:val="left" w:pos="274"/>
                <w:tab w:val="center" w:pos="405"/>
              </w:tabs>
              <w:spacing w:after="0"/>
              <w:jc w:val="center"/>
              <w:rPr>
                <w:b/>
              </w:rPr>
            </w:pPr>
            <w:r w:rsidRPr="008B5827">
              <w:rPr>
                <w:b/>
              </w:rPr>
              <w:lastRenderedPageBreak/>
              <w:t>Доставка</w:t>
            </w:r>
          </w:p>
        </w:tc>
      </w:tr>
      <w:tr w:rsidR="008B5827" w:rsidRPr="008B5827" w:rsidTr="00CF2F5C">
        <w:trPr>
          <w:trHeight w:val="231"/>
        </w:trPr>
        <w:tc>
          <w:tcPr>
            <w:tcW w:w="673" w:type="dxa"/>
            <w:noWrap/>
          </w:tcPr>
          <w:p w:rsidR="008B5827" w:rsidRPr="008B5827" w:rsidRDefault="008B5827" w:rsidP="008B5827">
            <w:pPr>
              <w:spacing w:after="0"/>
              <w:ind w:left="29"/>
              <w:jc w:val="center"/>
              <w:rPr>
                <w:color w:val="000000"/>
              </w:rPr>
            </w:pPr>
            <w:r w:rsidRPr="008B5827">
              <w:rPr>
                <w:color w:val="000000"/>
              </w:rPr>
              <w:t>3</w:t>
            </w:r>
          </w:p>
        </w:tc>
        <w:tc>
          <w:tcPr>
            <w:tcW w:w="6476" w:type="dxa"/>
            <w:tcBorders>
              <w:left w:val="nil"/>
            </w:tcBorders>
          </w:tcPr>
          <w:p w:rsidR="008B5827" w:rsidRPr="008B5827" w:rsidRDefault="008B5827" w:rsidP="008B5827">
            <w:pPr>
              <w:spacing w:after="0"/>
              <w:jc w:val="left"/>
            </w:pPr>
            <w:r w:rsidRPr="008B5827">
              <w:t>Перевозка грузов автомобилями</w:t>
            </w:r>
          </w:p>
        </w:tc>
        <w:tc>
          <w:tcPr>
            <w:tcW w:w="1179" w:type="dxa"/>
            <w:noWrap/>
          </w:tcPr>
          <w:p w:rsidR="008B5827" w:rsidRPr="008B5827" w:rsidRDefault="008B5827" w:rsidP="008B5827">
            <w:pPr>
              <w:shd w:val="clear" w:color="auto" w:fill="FFFFFF"/>
              <w:spacing w:after="0"/>
              <w:jc w:val="center"/>
            </w:pPr>
            <w:r w:rsidRPr="008B5827">
              <w:t>1</w:t>
            </w:r>
          </w:p>
        </w:tc>
        <w:tc>
          <w:tcPr>
            <w:tcW w:w="1136" w:type="dxa"/>
            <w:noWrap/>
          </w:tcPr>
          <w:p w:rsidR="008B5827" w:rsidRPr="008B5827" w:rsidRDefault="008B5827" w:rsidP="008B5827">
            <w:pPr>
              <w:tabs>
                <w:tab w:val="left" w:pos="274"/>
                <w:tab w:val="center" w:pos="405"/>
              </w:tabs>
              <w:spacing w:after="0"/>
              <w:jc w:val="center"/>
            </w:pPr>
            <w:proofErr w:type="spellStart"/>
            <w:r w:rsidRPr="008B5827">
              <w:t>маш</w:t>
            </w:r>
            <w:proofErr w:type="gramStart"/>
            <w:r w:rsidRPr="008B5827">
              <w:t>.р</w:t>
            </w:r>
            <w:proofErr w:type="gramEnd"/>
            <w:r w:rsidRPr="008B5827">
              <w:t>ейс</w:t>
            </w:r>
            <w:proofErr w:type="spellEnd"/>
          </w:p>
        </w:tc>
      </w:tr>
    </w:tbl>
    <w:p w:rsidR="008B5827" w:rsidRPr="008B5827" w:rsidRDefault="008B5827" w:rsidP="008B5827">
      <w:pPr>
        <w:widowControl w:val="0"/>
        <w:tabs>
          <w:tab w:val="left" w:pos="426"/>
        </w:tabs>
        <w:autoSpaceDE w:val="0"/>
        <w:autoSpaceDN w:val="0"/>
        <w:spacing w:after="0" w:line="360" w:lineRule="auto"/>
        <w:rPr>
          <w:b/>
          <w:bCs/>
        </w:rPr>
      </w:pPr>
    </w:p>
    <w:p w:rsidR="008B5827" w:rsidRPr="008B5827" w:rsidRDefault="008B5827" w:rsidP="008B5827">
      <w:pPr>
        <w:widowControl w:val="0"/>
        <w:tabs>
          <w:tab w:val="left" w:pos="426"/>
        </w:tabs>
        <w:autoSpaceDE w:val="0"/>
        <w:autoSpaceDN w:val="0"/>
        <w:spacing w:after="0" w:line="360" w:lineRule="auto"/>
      </w:pPr>
      <w:r w:rsidRPr="008B5827">
        <w:rPr>
          <w:b/>
          <w:bCs/>
        </w:rPr>
        <w:t>4</w:t>
      </w:r>
      <w:r w:rsidRPr="008B5827">
        <w:t>.</w:t>
      </w:r>
      <w:r w:rsidRPr="008B5827">
        <w:tab/>
      </w:r>
      <w:r w:rsidRPr="008B5827">
        <w:rPr>
          <w:b/>
          <w:bCs/>
        </w:rPr>
        <w:t>Требования к объему выполняемых работ</w:t>
      </w:r>
      <w:r w:rsidRPr="008B5827">
        <w:t xml:space="preserve">:  </w:t>
      </w:r>
    </w:p>
    <w:p w:rsidR="008B5827" w:rsidRPr="008B5827" w:rsidRDefault="008B5827" w:rsidP="008B5827">
      <w:pPr>
        <w:widowControl w:val="0"/>
        <w:autoSpaceDE w:val="0"/>
        <w:autoSpaceDN w:val="0"/>
        <w:spacing w:after="0"/>
        <w:ind w:firstLine="426"/>
      </w:pPr>
      <w:r w:rsidRPr="008B5827">
        <w:t>Выполнение работ в полном объеме в соответствии с описанием объекта закупки и локальным сметным расчетом: требуется выполнить наливное полиуретановое покрытие спортивной площадки, а также нанести разметки игровой площадки:</w:t>
      </w:r>
    </w:p>
    <w:p w:rsidR="008B5827" w:rsidRPr="008B5827" w:rsidRDefault="008B5827" w:rsidP="008B5827">
      <w:pPr>
        <w:widowControl w:val="0"/>
        <w:autoSpaceDE w:val="0"/>
        <w:autoSpaceDN w:val="0"/>
        <w:spacing w:after="0"/>
        <w:ind w:firstLine="426"/>
      </w:pPr>
      <w:r w:rsidRPr="008B5827">
        <w:t>- для мини-футбола (ширина линии разметки 80 мм);</w:t>
      </w:r>
    </w:p>
    <w:p w:rsidR="008B5827" w:rsidRPr="008B5827" w:rsidRDefault="008B5827" w:rsidP="008B5827">
      <w:pPr>
        <w:widowControl w:val="0"/>
        <w:autoSpaceDE w:val="0"/>
        <w:autoSpaceDN w:val="0"/>
        <w:spacing w:after="0"/>
        <w:ind w:firstLine="426"/>
      </w:pPr>
      <w:r w:rsidRPr="008B5827">
        <w:t>- для волейбола (стандартный размер площадки 18 м х 9 м, ширина линии разметки 50 мм);</w:t>
      </w:r>
    </w:p>
    <w:p w:rsidR="008B5827" w:rsidRPr="008B5827" w:rsidRDefault="008B5827" w:rsidP="008B5827">
      <w:pPr>
        <w:widowControl w:val="0"/>
        <w:autoSpaceDE w:val="0"/>
        <w:autoSpaceDN w:val="0"/>
        <w:spacing w:after="0"/>
        <w:ind w:firstLine="426"/>
      </w:pPr>
      <w:r w:rsidRPr="008B5827">
        <w:t>- для баскетбола (стандартный размер площадки 28 м х 15 м, ширина линии разметки 50 мм).</w:t>
      </w:r>
    </w:p>
    <w:p w:rsidR="008B5827" w:rsidRPr="008B5827" w:rsidRDefault="008B5827" w:rsidP="008B5827">
      <w:pPr>
        <w:widowControl w:val="0"/>
        <w:autoSpaceDE w:val="0"/>
        <w:autoSpaceDN w:val="0"/>
        <w:spacing w:after="0"/>
        <w:ind w:firstLine="426"/>
      </w:pPr>
      <w:r w:rsidRPr="008B5827">
        <w:t>Цвет линий разметки согласовать с Заказчиком.</w:t>
      </w:r>
    </w:p>
    <w:p w:rsidR="008B5827" w:rsidRPr="008B5827" w:rsidRDefault="008B5827" w:rsidP="008B5827">
      <w:pPr>
        <w:widowControl w:val="0"/>
        <w:autoSpaceDE w:val="0"/>
        <w:autoSpaceDN w:val="0"/>
        <w:spacing w:after="0"/>
        <w:ind w:firstLine="426"/>
        <w:rPr>
          <w:b/>
        </w:rPr>
      </w:pPr>
      <w:r w:rsidRPr="008B5827">
        <w:rPr>
          <w:b/>
        </w:rPr>
        <w:t>Перед устройством наливного полиуретанового покрытия требуется произвести шлифовку бетонного основания.</w:t>
      </w:r>
    </w:p>
    <w:p w:rsidR="008B5827" w:rsidRPr="008B5827" w:rsidRDefault="008B5827" w:rsidP="008B5827">
      <w:pPr>
        <w:widowControl w:val="0"/>
        <w:autoSpaceDE w:val="0"/>
        <w:autoSpaceDN w:val="0"/>
        <w:spacing w:after="0"/>
        <w:ind w:firstLine="426"/>
        <w:rPr>
          <w:b/>
          <w:bCs/>
        </w:rPr>
      </w:pPr>
    </w:p>
    <w:p w:rsidR="008B5827" w:rsidRPr="008B5827" w:rsidRDefault="008B5827" w:rsidP="008B5827">
      <w:pPr>
        <w:widowControl w:val="0"/>
        <w:tabs>
          <w:tab w:val="left" w:pos="426"/>
        </w:tabs>
        <w:autoSpaceDE w:val="0"/>
        <w:autoSpaceDN w:val="0"/>
        <w:spacing w:after="0" w:line="360" w:lineRule="auto"/>
      </w:pPr>
      <w:r w:rsidRPr="008B5827">
        <w:rPr>
          <w:b/>
          <w:bCs/>
        </w:rPr>
        <w:t>5</w:t>
      </w:r>
      <w:r w:rsidRPr="008B5827">
        <w:t>.</w:t>
      </w:r>
      <w:r w:rsidRPr="008B5827">
        <w:tab/>
      </w:r>
      <w:r w:rsidRPr="008B5827">
        <w:rPr>
          <w:b/>
          <w:bCs/>
        </w:rPr>
        <w:t>Требования, предъявляемые к выполняемым работам</w:t>
      </w:r>
      <w:r w:rsidRPr="008B5827">
        <w:t xml:space="preserve">: </w:t>
      </w:r>
    </w:p>
    <w:p w:rsidR="008B5827" w:rsidRPr="008B5827" w:rsidRDefault="008B5827" w:rsidP="008B5827">
      <w:pPr>
        <w:tabs>
          <w:tab w:val="left" w:pos="426"/>
        </w:tabs>
        <w:autoSpaceDE w:val="0"/>
        <w:autoSpaceDN w:val="0"/>
        <w:adjustRightInd w:val="0"/>
        <w:spacing w:after="0"/>
        <w:ind w:firstLine="426"/>
        <w:rPr>
          <w:rFonts w:eastAsia="TimesNewRoman"/>
          <w:lang w:eastAsia="en-US"/>
        </w:rPr>
      </w:pPr>
      <w:r w:rsidRPr="008B5827">
        <w:t>Все применяемые материалы должны отвечать необходимым эксплуатационным и эстетическим требованиям, не должны выделять во внешнюю среду вредные вещества, превышающие предельно допустимые концентрации. Материалы должны обладать влагостойкостью, стойкостью к механическим воздействиям и устойчивы к выцветанию, а также отвечать санитарным и противопожарным требованиям.</w:t>
      </w:r>
    </w:p>
    <w:p w:rsidR="008B5827" w:rsidRPr="008B5827" w:rsidRDefault="008B5827" w:rsidP="008B5827">
      <w:pPr>
        <w:spacing w:after="0"/>
        <w:ind w:firstLine="426"/>
      </w:pPr>
      <w:r w:rsidRPr="008B5827">
        <w:t>Работы должны вестись в соответствии с техническими регламентами, в том числе устанавливающими требования по обеспечению безопасной эксплуатации зданий, строений, сооружений и безопасного использования прилегающих к ним территорий.</w:t>
      </w:r>
    </w:p>
    <w:p w:rsidR="008B5827" w:rsidRPr="008B5827" w:rsidRDefault="008B5827" w:rsidP="008B5827">
      <w:pPr>
        <w:widowControl w:val="0"/>
        <w:autoSpaceDE w:val="0"/>
        <w:autoSpaceDN w:val="0"/>
        <w:spacing w:after="0"/>
        <w:ind w:firstLine="426"/>
      </w:pPr>
      <w:r w:rsidRPr="008B5827">
        <w:t>Подрядчик обеспечивает выполнение работ материалами, изделиями и конструкциями, инженерным (технологическим) оборудованием, необходимыми для выполнения полного объема работ в соответствии со сметной документацией, а так же согласовывает с Заказчиком.</w:t>
      </w:r>
    </w:p>
    <w:p w:rsidR="008B5827" w:rsidRPr="008B5827" w:rsidRDefault="008B5827" w:rsidP="008B5827">
      <w:pPr>
        <w:widowControl w:val="0"/>
        <w:autoSpaceDE w:val="0"/>
        <w:autoSpaceDN w:val="0"/>
        <w:spacing w:after="0"/>
        <w:ind w:firstLine="426"/>
      </w:pPr>
      <w:r w:rsidRPr="008B5827">
        <w:t>Строительные материалы и комплектующие, приобретаемые и используемые Подрядчиком, должны иметь соответствующие документы, предоставляемые до начала соответствующих работ:</w:t>
      </w:r>
    </w:p>
    <w:p w:rsidR="008B5827" w:rsidRPr="008B5827" w:rsidRDefault="008B5827" w:rsidP="008B5827">
      <w:pPr>
        <w:widowControl w:val="0"/>
        <w:autoSpaceDE w:val="0"/>
        <w:autoSpaceDN w:val="0"/>
        <w:spacing w:after="0"/>
        <w:ind w:firstLine="426"/>
      </w:pPr>
      <w:r w:rsidRPr="008B5827">
        <w:t>1. сертификаты и декларации соответствия;</w:t>
      </w:r>
    </w:p>
    <w:p w:rsidR="008B5827" w:rsidRPr="008B5827" w:rsidRDefault="008B5827" w:rsidP="008B5827">
      <w:pPr>
        <w:widowControl w:val="0"/>
        <w:autoSpaceDE w:val="0"/>
        <w:autoSpaceDN w:val="0"/>
        <w:spacing w:after="0"/>
        <w:ind w:firstLine="426"/>
      </w:pPr>
      <w:r w:rsidRPr="008B5827">
        <w:t>2. санитарно-эпидемиологические заключения;</w:t>
      </w:r>
    </w:p>
    <w:p w:rsidR="008B5827" w:rsidRPr="008B5827" w:rsidRDefault="008B5827" w:rsidP="008B5827">
      <w:pPr>
        <w:widowControl w:val="0"/>
        <w:autoSpaceDE w:val="0"/>
        <w:autoSpaceDN w:val="0"/>
        <w:spacing w:after="0"/>
        <w:ind w:firstLine="426"/>
      </w:pPr>
      <w:r w:rsidRPr="008B5827">
        <w:t>3. сертификаты пожарной безопасности (при наличии);</w:t>
      </w:r>
    </w:p>
    <w:p w:rsidR="008B5827" w:rsidRPr="008B5827" w:rsidRDefault="008B5827" w:rsidP="008B5827">
      <w:pPr>
        <w:widowControl w:val="0"/>
        <w:autoSpaceDE w:val="0"/>
        <w:autoSpaceDN w:val="0"/>
        <w:spacing w:after="0"/>
        <w:ind w:firstLine="426"/>
      </w:pPr>
      <w:r w:rsidRPr="008B5827">
        <w:t>4. инструкции по применению заводов – изготовителей на русском языке с указанием нормы расхода материалов и другие документы, удостоверяющие их качество;</w:t>
      </w:r>
    </w:p>
    <w:p w:rsidR="008B5827" w:rsidRPr="008B5827" w:rsidRDefault="008B5827" w:rsidP="008B5827">
      <w:pPr>
        <w:widowControl w:val="0"/>
        <w:autoSpaceDE w:val="0"/>
        <w:autoSpaceDN w:val="0"/>
        <w:spacing w:after="0"/>
        <w:ind w:firstLine="426"/>
      </w:pPr>
      <w:r w:rsidRPr="008B5827">
        <w:t>5. паспорт завода изготовителя (при наличии).</w:t>
      </w:r>
    </w:p>
    <w:p w:rsidR="008B5827" w:rsidRPr="008B5827" w:rsidRDefault="008B5827" w:rsidP="008B5827">
      <w:pPr>
        <w:widowControl w:val="0"/>
        <w:autoSpaceDE w:val="0"/>
        <w:autoSpaceDN w:val="0"/>
        <w:spacing w:after="0"/>
        <w:ind w:firstLine="426"/>
      </w:pPr>
      <w:r w:rsidRPr="008B5827">
        <w:t>Подрядчик несет ответственность за сохранность всех поставленных для реализации контракта материалов, инструментов и оборудования, находящегося на территории Заказчика, до сдачи готового объекта в эксплуатацию.</w:t>
      </w:r>
    </w:p>
    <w:p w:rsidR="008B5827" w:rsidRPr="008B5827" w:rsidRDefault="008B5827" w:rsidP="008B5827">
      <w:pPr>
        <w:widowControl w:val="0"/>
        <w:autoSpaceDE w:val="0"/>
        <w:autoSpaceDN w:val="0"/>
        <w:spacing w:after="0"/>
        <w:ind w:firstLine="426"/>
      </w:pPr>
      <w:r w:rsidRPr="008B5827">
        <w:t xml:space="preserve">Подрядчик должен располагать необходимым количеством первичных средств пожаротушения. </w:t>
      </w:r>
    </w:p>
    <w:p w:rsidR="008B5827" w:rsidRPr="008B5827" w:rsidRDefault="008B5827" w:rsidP="008B5827">
      <w:pPr>
        <w:widowControl w:val="0"/>
        <w:autoSpaceDE w:val="0"/>
        <w:autoSpaceDN w:val="0"/>
        <w:spacing w:after="0"/>
        <w:ind w:firstLine="426"/>
      </w:pPr>
      <w:r w:rsidRPr="008B5827">
        <w:t>В процессе производства работ Подрядчик должен своевременно производить уборку рабочей зоны и вывозить мусор.</w:t>
      </w:r>
    </w:p>
    <w:p w:rsidR="008B5827" w:rsidRPr="008B5827" w:rsidRDefault="008B5827" w:rsidP="008B5827">
      <w:pPr>
        <w:widowControl w:val="0"/>
        <w:autoSpaceDE w:val="0"/>
        <w:autoSpaceDN w:val="0"/>
        <w:spacing w:after="0"/>
        <w:ind w:firstLine="426"/>
      </w:pPr>
      <w:r w:rsidRPr="008B5827">
        <w:t>В случае повреждения отделки иных помещений или инженерных систем, произошедших по причине производимых Подрядчиком работ – все работы по восстановлению повреждений берет на себя Подрядчик.</w:t>
      </w:r>
    </w:p>
    <w:p w:rsidR="008B5827" w:rsidRPr="008B5827" w:rsidRDefault="008B5827" w:rsidP="008B5827">
      <w:pPr>
        <w:widowControl w:val="0"/>
        <w:autoSpaceDE w:val="0"/>
        <w:autoSpaceDN w:val="0"/>
        <w:spacing w:after="0"/>
        <w:ind w:firstLine="426"/>
      </w:pPr>
      <w:r w:rsidRPr="008B5827">
        <w:t>Подрядчик обеспечивает выполнение на объекте всех необходимых мероприятий по технике безопасности, пожарной безопасности, охране окружающей среды, охране труда, сохранности зеленых насаждений во время проведения работ и правил внутреннего распорядка при выполнении работ на территории Заказчика.</w:t>
      </w:r>
    </w:p>
    <w:p w:rsidR="008B5827" w:rsidRPr="008B5827" w:rsidRDefault="008B5827" w:rsidP="008B5827">
      <w:pPr>
        <w:widowControl w:val="0"/>
        <w:autoSpaceDE w:val="0"/>
        <w:autoSpaceDN w:val="0"/>
        <w:spacing w:after="0"/>
        <w:ind w:firstLine="426"/>
      </w:pPr>
      <w:r w:rsidRPr="008B5827">
        <w:t>При выполнении работ необходимо соблюдать требования, установленные в соответствии с законодательством Российской Федерации, СП, СНиПам, СанПиНам, ГОСТам, ТУ и другим нормативным документам.</w:t>
      </w:r>
    </w:p>
    <w:p w:rsidR="008B5827" w:rsidRPr="008B5827" w:rsidRDefault="008B5827" w:rsidP="008B5827">
      <w:pPr>
        <w:widowControl w:val="0"/>
        <w:autoSpaceDE w:val="0"/>
        <w:autoSpaceDN w:val="0"/>
        <w:spacing w:after="0"/>
        <w:ind w:firstLine="426"/>
      </w:pPr>
      <w:r w:rsidRPr="008B5827">
        <w:t xml:space="preserve">В выходные и праздничные дни, а также за пределами норм продолжительности рабочего дня проведение работ возможно по предварительному согласованию с Заказчиком </w:t>
      </w:r>
      <w:r w:rsidRPr="008B5827">
        <w:lastRenderedPageBreak/>
        <w:t xml:space="preserve">(уполномоченным представителем Заказчика) на Объекте при условии соблюдения Подрядчиком требований законодательства Российской Федерации об охране труда. </w:t>
      </w:r>
    </w:p>
    <w:p w:rsidR="008B5827" w:rsidRPr="008B5827" w:rsidRDefault="008B5827" w:rsidP="008B5827">
      <w:pPr>
        <w:widowControl w:val="0"/>
        <w:autoSpaceDE w:val="0"/>
        <w:autoSpaceDN w:val="0"/>
        <w:spacing w:after="0"/>
        <w:ind w:firstLine="426"/>
      </w:pPr>
      <w:r w:rsidRPr="008B5827">
        <w:t xml:space="preserve">Подрядчик своим приказом назначает лицо, ответственное за проведение работ и соблюдение вышеуказанных правил. Копия приказа представляется Заказчику. </w:t>
      </w:r>
    </w:p>
    <w:p w:rsidR="008B5827" w:rsidRPr="008B5827" w:rsidRDefault="008B5827" w:rsidP="008B5827">
      <w:pPr>
        <w:widowControl w:val="0"/>
        <w:autoSpaceDE w:val="0"/>
        <w:autoSpaceDN w:val="0"/>
        <w:spacing w:after="0"/>
        <w:ind w:firstLine="426"/>
      </w:pPr>
      <w:r w:rsidRPr="008B5827">
        <w:t>Заказчик оставляет за собой право проверять в любое время ход и качество выполняемых работ без вмешательства в оперативно-хозяйственную деятельность Подрядчика.</w:t>
      </w:r>
    </w:p>
    <w:p w:rsidR="008B5827" w:rsidRPr="008B5827" w:rsidRDefault="008B5827" w:rsidP="008B5827">
      <w:pPr>
        <w:widowControl w:val="0"/>
        <w:autoSpaceDE w:val="0"/>
        <w:autoSpaceDN w:val="0"/>
        <w:spacing w:after="0"/>
        <w:ind w:firstLine="426"/>
      </w:pPr>
      <w:r w:rsidRPr="008B5827">
        <w:t>Подрядчик должен при необходимости организовать ограждение зоны работ.</w:t>
      </w:r>
    </w:p>
    <w:p w:rsidR="008B5827" w:rsidRPr="008B5827" w:rsidRDefault="008B5827" w:rsidP="008B5827">
      <w:pPr>
        <w:widowControl w:val="0"/>
        <w:autoSpaceDE w:val="0"/>
        <w:autoSpaceDN w:val="0"/>
        <w:spacing w:after="0"/>
        <w:ind w:firstLine="426"/>
      </w:pPr>
    </w:p>
    <w:p w:rsidR="008B5827" w:rsidRPr="008B5827" w:rsidRDefault="008B5827" w:rsidP="008B5827">
      <w:pPr>
        <w:widowControl w:val="0"/>
        <w:tabs>
          <w:tab w:val="left" w:pos="426"/>
        </w:tabs>
        <w:autoSpaceDE w:val="0"/>
        <w:autoSpaceDN w:val="0"/>
        <w:spacing w:after="0"/>
      </w:pPr>
      <w:r w:rsidRPr="008B5827">
        <w:rPr>
          <w:b/>
          <w:bCs/>
        </w:rPr>
        <w:t>6</w:t>
      </w:r>
      <w:r w:rsidRPr="008B5827">
        <w:t>.</w:t>
      </w:r>
      <w:r w:rsidRPr="008B5827">
        <w:tab/>
      </w:r>
      <w:r w:rsidRPr="008B5827">
        <w:rPr>
          <w:b/>
          <w:bCs/>
        </w:rPr>
        <w:t>Требования к качеству и безопасности работ</w:t>
      </w:r>
      <w:r w:rsidRPr="008B5827">
        <w:t xml:space="preserve">: </w:t>
      </w:r>
    </w:p>
    <w:p w:rsidR="008B5827" w:rsidRPr="008B5827" w:rsidRDefault="008B5827" w:rsidP="008B5827">
      <w:pPr>
        <w:widowControl w:val="0"/>
        <w:autoSpaceDE w:val="0"/>
        <w:autoSpaceDN w:val="0"/>
        <w:spacing w:after="0"/>
        <w:ind w:firstLine="426"/>
      </w:pPr>
      <w:r w:rsidRPr="008B5827">
        <w:t>Работы (результаты Работ) должны соответствовать требованиям технических регламентов, документов, разрабатываемых и применяемых в национальной системе стандартизации, технических условий, санитарно-эпидемиологических правил и нормативов, действующих в отношении данного вида работ, описанию объекта закупки, сметной документации.</w:t>
      </w:r>
    </w:p>
    <w:p w:rsidR="008B5827" w:rsidRPr="008B5827" w:rsidRDefault="008B5827" w:rsidP="008B5827">
      <w:pPr>
        <w:widowControl w:val="0"/>
        <w:autoSpaceDE w:val="0"/>
        <w:autoSpaceDN w:val="0"/>
        <w:spacing w:after="0"/>
        <w:ind w:firstLine="426"/>
      </w:pPr>
      <w:r w:rsidRPr="008B5827">
        <w:t>Подрядчик несет ответственность за соответствие используемых материалов государственным стандартам и техническим условиям.</w:t>
      </w:r>
    </w:p>
    <w:p w:rsidR="008B5827" w:rsidRPr="008B5827" w:rsidRDefault="008B5827" w:rsidP="008B5827">
      <w:pPr>
        <w:spacing w:after="0"/>
        <w:ind w:firstLine="426"/>
      </w:pPr>
      <w:r w:rsidRPr="008B5827">
        <w:t>Требования к качеству работ устанавливаются в соответствии со статьей 721 Гражданского кодекса Российской Федерации и СП 48.13330.2019 «Организация строительства».</w:t>
      </w:r>
    </w:p>
    <w:p w:rsidR="008B5827" w:rsidRPr="008B5827" w:rsidRDefault="008B5827" w:rsidP="008B5827">
      <w:pPr>
        <w:suppressAutoHyphens/>
        <w:spacing w:after="0"/>
        <w:ind w:firstLine="426"/>
      </w:pPr>
      <w:r w:rsidRPr="008B5827">
        <w:t>Требования к безопасности труда устанавливаются в соответствии с требованиями СНиП 12-03-2001 «Безопасность труда в строительстве. Часть 1. Общие требования», СНиП 12-04-2002 «Безопасность труда в строительстве. Часть 2. Строительное производство».</w:t>
      </w:r>
    </w:p>
    <w:p w:rsidR="008B5827" w:rsidRPr="008B5827" w:rsidRDefault="008B5827" w:rsidP="008B5827">
      <w:pPr>
        <w:keepNext/>
        <w:keepLines/>
        <w:shd w:val="clear" w:color="auto" w:fill="FFFFFF"/>
        <w:spacing w:after="0"/>
        <w:ind w:firstLine="426"/>
        <w:textAlignment w:val="baseline"/>
        <w:outlineLvl w:val="0"/>
        <w:rPr>
          <w:rFonts w:eastAsiaTheme="majorEastAsia"/>
        </w:rPr>
      </w:pPr>
      <w:r w:rsidRPr="008B5827">
        <w:rPr>
          <w:rFonts w:eastAsiaTheme="majorEastAsia"/>
        </w:rPr>
        <w:t>Перед началом работ опасная зона должна быть огорожена в соответствии с требованиями ГОСТ Р 58967-2020</w:t>
      </w:r>
      <w:r w:rsidRPr="008B5827">
        <w:rPr>
          <w:rFonts w:eastAsiaTheme="majorEastAsia"/>
          <w:bCs/>
        </w:rPr>
        <w:t xml:space="preserve"> «</w:t>
      </w:r>
      <w:r w:rsidRPr="008B5827">
        <w:rPr>
          <w:rFonts w:eastAsiaTheme="majorEastAsia"/>
        </w:rPr>
        <w:t>Ограждения инвентарные строительных площадок и участков производства строительно-монтажных работ» и обозначена знаками безопасности и надписями установленной формы в соответствии с требованиями ГОСТ 12.4.026-2015 «</w:t>
      </w:r>
      <w:r w:rsidRPr="008B5827">
        <w:rPr>
          <w:rFonts w:eastAsiaTheme="majorEastAsia"/>
          <w:bCs/>
        </w:rPr>
        <w:t>Система стандартов безопасности труда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r w:rsidRPr="008B5827">
        <w:rPr>
          <w:rFonts w:eastAsiaTheme="majorEastAsia"/>
          <w:shd w:val="clear" w:color="auto" w:fill="FFFFFF"/>
        </w:rPr>
        <w:t>»</w:t>
      </w:r>
      <w:r w:rsidRPr="008B5827">
        <w:rPr>
          <w:rFonts w:eastAsiaTheme="majorEastAsia"/>
        </w:rPr>
        <w:t>.</w:t>
      </w:r>
    </w:p>
    <w:p w:rsidR="008B5827" w:rsidRPr="008B5827" w:rsidRDefault="008B5827" w:rsidP="008B5827">
      <w:pPr>
        <w:spacing w:after="0"/>
        <w:ind w:firstLine="426"/>
      </w:pPr>
    </w:p>
    <w:p w:rsidR="008B5827" w:rsidRPr="008B5827" w:rsidRDefault="008B5827" w:rsidP="008B5827">
      <w:pPr>
        <w:tabs>
          <w:tab w:val="left" w:pos="426"/>
        </w:tabs>
        <w:spacing w:after="0"/>
        <w:rPr>
          <w:b/>
          <w:bCs/>
        </w:rPr>
      </w:pPr>
      <w:r w:rsidRPr="008B5827">
        <w:rPr>
          <w:b/>
          <w:bCs/>
        </w:rPr>
        <w:t>7</w:t>
      </w:r>
      <w:r w:rsidRPr="008B5827">
        <w:t>.</w:t>
      </w:r>
      <w:r w:rsidRPr="008B5827">
        <w:tab/>
      </w:r>
      <w:r w:rsidRPr="008B5827">
        <w:rPr>
          <w:b/>
          <w:bCs/>
        </w:rPr>
        <w:t>Требования к техническим характеристикам выполняемых работ:</w:t>
      </w:r>
    </w:p>
    <w:p w:rsidR="008B5827" w:rsidRPr="008B5827" w:rsidRDefault="008B5827" w:rsidP="008B5827">
      <w:pPr>
        <w:autoSpaceDE w:val="0"/>
        <w:autoSpaceDN w:val="0"/>
        <w:adjustRightInd w:val="0"/>
        <w:spacing w:after="0"/>
        <w:ind w:firstLine="426"/>
      </w:pPr>
      <w:r w:rsidRPr="008B5827">
        <w:t>Технологию производства работ Подрядчик обязан согласовать с Заказчиком. Мероприятия по охране труда, технике безопасности, пожарной безопасности при производстве работ Подрядчик разрабатывает самостоятельно.</w:t>
      </w:r>
    </w:p>
    <w:p w:rsidR="008B5827" w:rsidRPr="008B5827" w:rsidRDefault="008B5827" w:rsidP="008B5827">
      <w:pPr>
        <w:widowControl w:val="0"/>
        <w:autoSpaceDE w:val="0"/>
        <w:autoSpaceDN w:val="0"/>
        <w:spacing w:after="0"/>
        <w:ind w:firstLine="426"/>
      </w:pPr>
      <w:r w:rsidRPr="008B5827">
        <w:t>Подрядчик обеспечивает производство работ в строгом соответствии с описанием объекта закупки и локальным сметным расчетом.</w:t>
      </w:r>
    </w:p>
    <w:p w:rsidR="008B5827" w:rsidRPr="008B5827" w:rsidRDefault="008B5827" w:rsidP="008B5827">
      <w:pPr>
        <w:autoSpaceDE w:val="0"/>
        <w:autoSpaceDN w:val="0"/>
        <w:adjustRightInd w:val="0"/>
        <w:spacing w:after="0"/>
        <w:ind w:firstLine="426"/>
      </w:pPr>
      <w:r w:rsidRPr="008B5827">
        <w:t>Подрядчик должен приобрести и поставить на объект необходимые материалы, инженерное оборудование, изделия, конструкции, комплектующие изделия.</w:t>
      </w:r>
    </w:p>
    <w:p w:rsidR="008B5827" w:rsidRPr="008B5827" w:rsidRDefault="008B5827" w:rsidP="008B5827">
      <w:pPr>
        <w:autoSpaceDE w:val="0"/>
        <w:autoSpaceDN w:val="0"/>
        <w:adjustRightInd w:val="0"/>
        <w:spacing w:after="0"/>
        <w:ind w:firstLine="426"/>
      </w:pPr>
      <w:r w:rsidRPr="008B5827">
        <w:rPr>
          <w:b/>
        </w:rPr>
        <w:t>Материалы</w:t>
      </w:r>
      <w:r w:rsidRPr="008B5827">
        <w:t xml:space="preserve">, используемые для проведения работ, </w:t>
      </w:r>
      <w:r w:rsidRPr="008B5827">
        <w:rPr>
          <w:b/>
        </w:rPr>
        <w:t>должны иметь сертификаты соответствия, гигиенические сертификаты</w:t>
      </w:r>
      <w:r w:rsidRPr="008B5827">
        <w:t>, сертификаты пожарной безопасности (при наличии) и соответствовать требованиям СанПин.</w:t>
      </w:r>
    </w:p>
    <w:p w:rsidR="008B5827" w:rsidRPr="008B5827" w:rsidRDefault="008B5827" w:rsidP="008B5827">
      <w:pPr>
        <w:spacing w:after="0"/>
        <w:ind w:firstLine="426"/>
      </w:pPr>
      <w:r w:rsidRPr="008B5827">
        <w:rPr>
          <w:b/>
        </w:rPr>
        <w:t>Наливное полиуретановое покрытие (далее – покрытие)</w:t>
      </w:r>
      <w:r w:rsidRPr="008B5827">
        <w:t xml:space="preserve"> представляет собой однослойное водопроницаемое покрытие из резиновой крошки, одноцветное или с комбинацией различных цветов. Покрытие является водопроницаемым продуктом, </w:t>
      </w:r>
      <w:proofErr w:type="spellStart"/>
      <w:r w:rsidRPr="008B5827">
        <w:t>антискользящим</w:t>
      </w:r>
      <w:proofErr w:type="spellEnd"/>
      <w:r w:rsidRPr="008B5827">
        <w:t xml:space="preserve"> продуктом, а также является относительно эластичным продуктом, стремящимся повторить форму основания. Покрытие укладывается на основание методом наливных ковров. Покрытие нельзя использовать как выравнивающий основание слой. Другими словами, покрытие будет повторять форму основания и иметь неровности, которые были у основания, если их размер больше толщины покрытия. Во время производства покрытия, в особенности на больших площадях, неизбежны технологические перерывы. При возобновлении работ свежеуложенное покрытие контактирует с ранее уложенным покрытием, и может быть заметна граница. Однако, это ни в коей мере не нарушает монолитности покрытия и не влияет на эксплуатационные свойства покрытия.</w:t>
      </w:r>
    </w:p>
    <w:p w:rsidR="008B5827" w:rsidRPr="008B5827" w:rsidRDefault="008B5827" w:rsidP="008B5827">
      <w:pPr>
        <w:widowControl w:val="0"/>
        <w:autoSpaceDE w:val="0"/>
        <w:autoSpaceDN w:val="0"/>
        <w:spacing w:after="0"/>
        <w:ind w:firstLine="426"/>
      </w:pPr>
      <w:r w:rsidRPr="008B5827">
        <w:t>В случае применения несоответствующего материала (комплектующих, оборудования) или несогласования Заказчиком материала (комплектующих, оборудования) Подрядчик производит работы заново за свой счёт без увеличения цены контракта и без права продления предусмотренных контрактом сроков выполнения работ.</w:t>
      </w:r>
    </w:p>
    <w:p w:rsidR="008B5827" w:rsidRPr="008B5827" w:rsidRDefault="008B5827" w:rsidP="008B5827">
      <w:pPr>
        <w:autoSpaceDE w:val="0"/>
        <w:autoSpaceDN w:val="0"/>
        <w:adjustRightInd w:val="0"/>
        <w:spacing w:after="0"/>
        <w:ind w:firstLine="426"/>
      </w:pPr>
      <w:r w:rsidRPr="008B5827">
        <w:lastRenderedPageBreak/>
        <w:t xml:space="preserve">Заказчик не возмещает любые расходы Подрядчика, связанные с применением материала (комплектующих, оборудования), не отвечающего требованиям описания объекта закупки. При сдаче выполненных работ Подрядчик передает Заказчику сертификаты соответствия на материалы, используемые при выполнении работ, технические паспорта или другие документы, удостоверяющие качество материалов, конструкций и деталей. </w:t>
      </w:r>
    </w:p>
    <w:p w:rsidR="008B5827" w:rsidRPr="008B5827" w:rsidRDefault="008B5827" w:rsidP="008B5827">
      <w:pPr>
        <w:autoSpaceDE w:val="0"/>
        <w:autoSpaceDN w:val="0"/>
        <w:adjustRightInd w:val="0"/>
        <w:spacing w:after="0"/>
        <w:ind w:firstLine="426"/>
      </w:pPr>
      <w:r w:rsidRPr="008B5827">
        <w:t xml:space="preserve">Подрядчик обеспечивает возможность контроля и надзора со стороны Заказчика за ходом выполнения работ, качеством используемых материалов, в том числе беспрепятственно допускает их представителей к любому конструктивному элементу объекта. </w:t>
      </w:r>
    </w:p>
    <w:p w:rsidR="008B5827" w:rsidRPr="008B5827" w:rsidRDefault="008B5827" w:rsidP="008B5827">
      <w:pPr>
        <w:autoSpaceDE w:val="0"/>
        <w:autoSpaceDN w:val="0"/>
        <w:adjustRightInd w:val="0"/>
        <w:spacing w:after="0"/>
        <w:ind w:firstLine="426"/>
      </w:pPr>
      <w:r w:rsidRPr="008B5827">
        <w:t xml:space="preserve">Подрядчик должен обеспечить наличие в отношении собственных работников, а также в отношении работников субподрядных организаций всех необходимых разрешений на привлечение и использование в Российской Федерации иностранной рабочей силы и разрешения на работу для каждого иностранного работника в соответствии с действующим миграционным законодательством Российской Федерации. При этом Подрядчик несёт всю полноту ответственности за нарушение установленного законодательством порядка привлечения и использования иностранной рабочей силы для выполнения работ, а также связанные с этим риски, в том числе риск связанных с этим убытков Заказчика. </w:t>
      </w:r>
    </w:p>
    <w:p w:rsidR="008B5827" w:rsidRPr="008B5827" w:rsidRDefault="008B5827" w:rsidP="008B5827">
      <w:pPr>
        <w:autoSpaceDE w:val="0"/>
        <w:autoSpaceDN w:val="0"/>
        <w:adjustRightInd w:val="0"/>
        <w:spacing w:after="0"/>
        <w:ind w:firstLine="426"/>
      </w:pPr>
      <w:r w:rsidRPr="008B5827">
        <w:t>Подрядчик обеспечивает уборку территории, прилегающей к участку выполнения строительно-монтажных работ, чистоту выезжающего транспорта, содержит в исправном состоянии ограждения и систематически вывозит мусор с территории объекта.</w:t>
      </w:r>
    </w:p>
    <w:p w:rsidR="008B5827" w:rsidRPr="008B5827" w:rsidRDefault="008B5827" w:rsidP="008B5827">
      <w:pPr>
        <w:autoSpaceDE w:val="0"/>
        <w:autoSpaceDN w:val="0"/>
        <w:adjustRightInd w:val="0"/>
        <w:spacing w:after="0"/>
        <w:ind w:firstLine="426"/>
      </w:pPr>
      <w:r w:rsidRPr="008B5827">
        <w:t>Не позднее 10 (десяти) рабочих дней со дня окончания выполнения работ освободить земельный участок от временных построек и  сооружений, строительной техники,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w:t>
      </w:r>
    </w:p>
    <w:p w:rsidR="008B5827" w:rsidRPr="008B5827" w:rsidRDefault="008B5827" w:rsidP="008B5827">
      <w:pPr>
        <w:spacing w:after="0"/>
        <w:ind w:firstLine="426"/>
      </w:pPr>
      <w:r w:rsidRPr="008B5827">
        <w:t>Работы должны выполняться в соответствии с требованиями по энергосбережению и повышению энергетической эффективности объекта и соблюдать следующие нормативные документы (с последующими изменениями):</w:t>
      </w:r>
    </w:p>
    <w:p w:rsidR="008B5827" w:rsidRPr="008B5827" w:rsidRDefault="008B5827" w:rsidP="008B5827">
      <w:pPr>
        <w:spacing w:after="0"/>
        <w:ind w:firstLine="426"/>
      </w:pPr>
      <w:r w:rsidRPr="008B5827">
        <w:t>- Градостроительным кодексом Российской Федерации;</w:t>
      </w:r>
    </w:p>
    <w:p w:rsidR="008B5827" w:rsidRPr="008B5827" w:rsidRDefault="008B5827" w:rsidP="008B5827">
      <w:pPr>
        <w:spacing w:after="0"/>
        <w:ind w:firstLine="426"/>
      </w:pPr>
      <w:r w:rsidRPr="008B5827">
        <w:t>- Федеральным законом от 22 июля 2008 года № 123-ФЗ «Технический регламент о требованиях пожарной безопасности»;</w:t>
      </w:r>
    </w:p>
    <w:p w:rsidR="008B5827" w:rsidRPr="008B5827" w:rsidRDefault="008B5827" w:rsidP="008B5827">
      <w:pPr>
        <w:spacing w:after="0"/>
        <w:ind w:firstLine="426"/>
      </w:pPr>
      <w:r w:rsidRPr="008B5827">
        <w:t>- Федеральным законом от 30 декабря 2009 года № 384-ФЗ «Технический регламент о безопасности зданий и сооружений»;</w:t>
      </w:r>
    </w:p>
    <w:p w:rsidR="008B5827" w:rsidRPr="008B5827" w:rsidRDefault="008B5827" w:rsidP="008B5827">
      <w:pPr>
        <w:spacing w:after="0"/>
        <w:ind w:firstLine="426"/>
      </w:pPr>
      <w:r w:rsidRPr="008B5827">
        <w:t>- Постановления Правительства РФ от 16.09.2020 № 1479 «Об утверждении Правил противопожарного режима в Российской Федерации» (вместе с «Правилами противопожарного режима в Российской Федерации»);</w:t>
      </w:r>
    </w:p>
    <w:p w:rsidR="008B5827" w:rsidRPr="008B5827" w:rsidRDefault="008B5827" w:rsidP="008B5827">
      <w:pPr>
        <w:spacing w:after="0"/>
        <w:ind w:firstLine="426"/>
      </w:pPr>
      <w:r w:rsidRPr="008B5827">
        <w:t>- Федеральным законом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8B5827" w:rsidRPr="008B5827" w:rsidRDefault="008B5827" w:rsidP="008B5827">
      <w:pPr>
        <w:spacing w:after="0"/>
        <w:ind w:firstLine="426"/>
      </w:pPr>
      <w:r w:rsidRPr="008B5827">
        <w:t>- Постановления Правительства Российской Федерации от 31 декабря 2009 №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или муниципальных нужд»;</w:t>
      </w:r>
    </w:p>
    <w:p w:rsidR="008B5827" w:rsidRPr="008B5827" w:rsidRDefault="008B5827" w:rsidP="008B5827">
      <w:pPr>
        <w:spacing w:after="0"/>
        <w:ind w:firstLine="426"/>
      </w:pPr>
      <w:r w:rsidRPr="008B5827">
        <w:t xml:space="preserve">- Приказ Министерства экономического развития РФ от 04 июня 2010 года №229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w:t>
      </w:r>
      <w:proofErr w:type="spellStart"/>
      <w:r w:rsidRPr="008B5827">
        <w:t>ресурсоснабжения</w:t>
      </w:r>
      <w:proofErr w:type="spellEnd"/>
      <w:r w:rsidRPr="008B5827">
        <w:t>, влияющих на энергетическую эффективность зданий, строений, сооружений»;</w:t>
      </w:r>
    </w:p>
    <w:p w:rsidR="008B5827" w:rsidRPr="008B5827" w:rsidRDefault="008B5827" w:rsidP="008B5827">
      <w:pPr>
        <w:spacing w:after="0"/>
        <w:ind w:firstLine="425"/>
      </w:pPr>
      <w:r w:rsidRPr="008B5827">
        <w:t>- Приказ Минэкономразвития РФ от 09 марта 2011 года №88 «О требованиях энергетической эффективности в отношении товаров, для которых уполномоченным федеральным органом исполнительной власти определены классы энергетической эффективности»;</w:t>
      </w:r>
    </w:p>
    <w:p w:rsidR="008B5827" w:rsidRPr="008B5827" w:rsidRDefault="008B5827" w:rsidP="008B5827">
      <w:pPr>
        <w:tabs>
          <w:tab w:val="num" w:pos="1211"/>
        </w:tabs>
        <w:spacing w:after="0"/>
        <w:ind w:firstLine="425"/>
      </w:pPr>
      <w:r w:rsidRPr="008B5827">
        <w:t>- СП 28.13330.2017 «Защита строительных конструкций от коррозии»;</w:t>
      </w:r>
    </w:p>
    <w:p w:rsidR="008B5827" w:rsidRPr="008B5827" w:rsidRDefault="008B5827" w:rsidP="008B5827">
      <w:pPr>
        <w:tabs>
          <w:tab w:val="num" w:pos="1211"/>
        </w:tabs>
        <w:spacing w:after="0"/>
        <w:ind w:firstLine="426"/>
      </w:pPr>
      <w:r w:rsidRPr="008B5827">
        <w:t>- СП 32.13330.2018 «Канализация. Наружные сети и сооружения»;</w:t>
      </w:r>
    </w:p>
    <w:p w:rsidR="008B5827" w:rsidRPr="008B5827" w:rsidRDefault="008B5827" w:rsidP="008B5827">
      <w:pPr>
        <w:tabs>
          <w:tab w:val="num" w:pos="1211"/>
        </w:tabs>
        <w:spacing w:after="0"/>
        <w:ind w:firstLine="426"/>
      </w:pPr>
      <w:r w:rsidRPr="008B5827">
        <w:t>- СП 45.13330.2017 «Земляные сооружения, основания и фундаменты»;</w:t>
      </w:r>
    </w:p>
    <w:p w:rsidR="008B5827" w:rsidRPr="008B5827" w:rsidRDefault="008B5827" w:rsidP="008B5827">
      <w:pPr>
        <w:keepNext/>
        <w:keepLines/>
        <w:shd w:val="clear" w:color="auto" w:fill="FFFFFF"/>
        <w:spacing w:after="0"/>
        <w:ind w:firstLine="425"/>
        <w:textAlignment w:val="baseline"/>
        <w:outlineLvl w:val="0"/>
        <w:rPr>
          <w:rFonts w:eastAsiaTheme="majorEastAsia"/>
          <w:bCs/>
        </w:rPr>
      </w:pPr>
      <w:r w:rsidRPr="008B5827">
        <w:rPr>
          <w:rFonts w:eastAsiaTheme="majorEastAsia"/>
          <w:bCs/>
        </w:rPr>
        <w:t>- СП 48.13330.2019 «Организация строительства»;</w:t>
      </w:r>
    </w:p>
    <w:p w:rsidR="008B5827" w:rsidRPr="008B5827" w:rsidRDefault="008B5827" w:rsidP="008B5827">
      <w:pPr>
        <w:tabs>
          <w:tab w:val="num" w:pos="1211"/>
        </w:tabs>
        <w:spacing w:after="0"/>
        <w:ind w:firstLine="425"/>
      </w:pPr>
      <w:r w:rsidRPr="008B5827">
        <w:t>- СП 52.13330.2016 «Естественное и искусственное освещение»;</w:t>
      </w:r>
    </w:p>
    <w:p w:rsidR="008B5827" w:rsidRPr="008B5827" w:rsidRDefault="008B5827" w:rsidP="008B5827">
      <w:pPr>
        <w:tabs>
          <w:tab w:val="num" w:pos="1211"/>
        </w:tabs>
        <w:spacing w:after="0"/>
        <w:ind w:firstLine="425"/>
      </w:pPr>
      <w:r w:rsidRPr="008B5827">
        <w:t>- СП 63.13330.2018 «Бетонные и железобетонные конструкции. Основные положения»;</w:t>
      </w:r>
    </w:p>
    <w:p w:rsidR="008B5827" w:rsidRPr="008B5827" w:rsidRDefault="008B5827" w:rsidP="008B5827">
      <w:pPr>
        <w:tabs>
          <w:tab w:val="num" w:pos="1211"/>
        </w:tabs>
        <w:spacing w:after="0"/>
        <w:ind w:firstLine="425"/>
        <w:jc w:val="left"/>
      </w:pPr>
      <w:r w:rsidRPr="008B5827">
        <w:t>- СП 70.13330.2012 «Несущие и ограждающие конструкции»;</w:t>
      </w:r>
    </w:p>
    <w:p w:rsidR="008B5827" w:rsidRPr="008B5827" w:rsidRDefault="008B5827" w:rsidP="008B5827">
      <w:pPr>
        <w:tabs>
          <w:tab w:val="num" w:pos="1211"/>
        </w:tabs>
        <w:spacing w:after="0"/>
        <w:ind w:firstLine="425"/>
        <w:jc w:val="left"/>
      </w:pPr>
      <w:r w:rsidRPr="008B5827">
        <w:lastRenderedPageBreak/>
        <w:t>- СП 76.13330.2016 «Электротехнические устройства»;</w:t>
      </w:r>
    </w:p>
    <w:p w:rsidR="008B5827" w:rsidRPr="008B5827" w:rsidRDefault="008B5827" w:rsidP="008B5827">
      <w:pPr>
        <w:spacing w:after="0"/>
        <w:ind w:firstLine="426"/>
      </w:pPr>
      <w:r w:rsidRPr="008B5827">
        <w:t>- СП 78.13330.2012 «Автомобильные дороги»;</w:t>
      </w:r>
    </w:p>
    <w:p w:rsidR="008B5827" w:rsidRPr="008B5827" w:rsidRDefault="008B5827" w:rsidP="008B5827">
      <w:pPr>
        <w:spacing w:after="0"/>
        <w:ind w:firstLine="426"/>
      </w:pPr>
      <w:r w:rsidRPr="008B5827">
        <w:t>- СП 82.13330.2016 «Благоустройство территорий»;</w:t>
      </w:r>
    </w:p>
    <w:p w:rsidR="008B5827" w:rsidRPr="008B5827" w:rsidRDefault="008B5827" w:rsidP="008B5827">
      <w:pPr>
        <w:tabs>
          <w:tab w:val="num" w:pos="1211"/>
        </w:tabs>
        <w:spacing w:after="0"/>
        <w:ind w:firstLine="425"/>
      </w:pPr>
      <w:r w:rsidRPr="008B5827">
        <w:t>- СП 118.13330.2022 «Общественные здания и сооружения»;</w:t>
      </w:r>
    </w:p>
    <w:p w:rsidR="008B5827" w:rsidRPr="008B5827" w:rsidRDefault="008B5827" w:rsidP="008B5827">
      <w:pPr>
        <w:tabs>
          <w:tab w:val="num" w:pos="1211"/>
        </w:tabs>
        <w:spacing w:after="0"/>
        <w:ind w:firstLine="425"/>
      </w:pPr>
      <w:r w:rsidRPr="008B5827">
        <w:t>- СП 325.1325800.2017 «Здания и сооружения. Правила производства работ при демонтаже и утилизации»;</w:t>
      </w:r>
    </w:p>
    <w:p w:rsidR="008B5827" w:rsidRPr="008B5827" w:rsidRDefault="008B5827" w:rsidP="008B5827">
      <w:pPr>
        <w:tabs>
          <w:tab w:val="num" w:pos="1211"/>
        </w:tabs>
        <w:spacing w:after="0"/>
        <w:ind w:firstLine="426"/>
      </w:pPr>
      <w:r w:rsidRPr="008B5827">
        <w:t>- СП 470.1325800.2019  «Конструкции стальные. Правила производства работ»;</w:t>
      </w:r>
    </w:p>
    <w:p w:rsidR="008B5827" w:rsidRPr="008B5827" w:rsidRDefault="008B5827" w:rsidP="008B5827">
      <w:pPr>
        <w:tabs>
          <w:tab w:val="num" w:pos="1211"/>
        </w:tabs>
        <w:spacing w:after="0"/>
        <w:ind w:firstLine="425"/>
      </w:pPr>
      <w:r w:rsidRPr="008B5827">
        <w:t>- ГОСТ 31565-2012 «Кабельные изделия. Требования пожарной безопасности»;</w:t>
      </w:r>
    </w:p>
    <w:p w:rsidR="008B5827" w:rsidRPr="008B5827" w:rsidRDefault="008B5827" w:rsidP="008B5827">
      <w:pPr>
        <w:tabs>
          <w:tab w:val="num" w:pos="1211"/>
        </w:tabs>
        <w:spacing w:after="0"/>
        <w:ind w:firstLine="425"/>
      </w:pPr>
      <w:r w:rsidRPr="008B5827">
        <w:t>- «Правила устройства электроустановок (ПУЭ)»;</w:t>
      </w:r>
    </w:p>
    <w:p w:rsidR="008B5827" w:rsidRPr="008B5827" w:rsidRDefault="008B5827" w:rsidP="008B5827">
      <w:pPr>
        <w:spacing w:after="0"/>
        <w:ind w:firstLine="425"/>
      </w:pPr>
      <w:r w:rsidRPr="008B5827">
        <w:t>-</w:t>
      </w:r>
      <w:r w:rsidRPr="008B5827">
        <w:rPr>
          <w:spacing w:val="2"/>
        </w:rPr>
        <w:t xml:space="preserve"> </w:t>
      </w:r>
      <w:r w:rsidRPr="008B5827">
        <w:t>иные документы, регламентирующие качество работ.</w:t>
      </w:r>
    </w:p>
    <w:p w:rsidR="008B5827" w:rsidRPr="008B5827" w:rsidRDefault="008B5827" w:rsidP="008B5827">
      <w:pPr>
        <w:keepNext/>
        <w:keepLines/>
        <w:shd w:val="clear" w:color="auto" w:fill="FFFFFF"/>
        <w:spacing w:after="0"/>
        <w:ind w:firstLine="426"/>
        <w:textAlignment w:val="baseline"/>
        <w:outlineLvl w:val="0"/>
        <w:rPr>
          <w:rFonts w:eastAsiaTheme="majorEastAsia"/>
          <w:bCs/>
        </w:rPr>
      </w:pPr>
      <w:r w:rsidRPr="008B5827">
        <w:rPr>
          <w:rFonts w:eastAsiaTheme="majorEastAsia"/>
          <w:bCs/>
        </w:rPr>
        <w:t>В случае, если описание объекта закупки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введенные взамен утратившим силу.</w:t>
      </w:r>
    </w:p>
    <w:p w:rsidR="008B5827" w:rsidRPr="008B5827" w:rsidRDefault="008B5827" w:rsidP="008B5827">
      <w:pPr>
        <w:spacing w:after="0"/>
        <w:jc w:val="left"/>
      </w:pPr>
    </w:p>
    <w:p w:rsidR="008B5827" w:rsidRPr="008B5827" w:rsidRDefault="008B5827" w:rsidP="008B5827">
      <w:pPr>
        <w:tabs>
          <w:tab w:val="left" w:pos="426"/>
        </w:tabs>
        <w:spacing w:after="0"/>
        <w:rPr>
          <w:b/>
          <w:bCs/>
        </w:rPr>
      </w:pPr>
      <w:r w:rsidRPr="008B5827">
        <w:rPr>
          <w:b/>
          <w:bCs/>
        </w:rPr>
        <w:t>8.</w:t>
      </w:r>
      <w:r w:rsidRPr="008B5827">
        <w:rPr>
          <w:b/>
          <w:bCs/>
        </w:rPr>
        <w:tab/>
        <w:t>Требования к результатам работ и иные показатели, связанные с определением соответствия выполняемых работ потребностям Заказчика:</w:t>
      </w:r>
    </w:p>
    <w:p w:rsidR="008B5827" w:rsidRPr="008B5827" w:rsidRDefault="008B5827" w:rsidP="008B5827">
      <w:pPr>
        <w:spacing w:after="0"/>
        <w:ind w:firstLine="425"/>
        <w:rPr>
          <w:b/>
          <w:bCs/>
        </w:rPr>
      </w:pPr>
      <w:r w:rsidRPr="008B5827">
        <w:t>Результат работы должен обеспечивать достижение показателей, указанных в настоящем описании объекта закупки.</w:t>
      </w:r>
    </w:p>
    <w:p w:rsidR="008B5827" w:rsidRPr="008B5827" w:rsidRDefault="008B5827" w:rsidP="008B5827">
      <w:pPr>
        <w:autoSpaceDE w:val="0"/>
        <w:autoSpaceDN w:val="0"/>
        <w:adjustRightInd w:val="0"/>
        <w:spacing w:after="0"/>
        <w:ind w:firstLine="425"/>
        <w:rPr>
          <w:color w:val="000000"/>
        </w:rPr>
      </w:pPr>
      <w:r w:rsidRPr="008B5827">
        <w:rPr>
          <w:color w:val="000000"/>
        </w:rPr>
        <w:t xml:space="preserve">По завершении работ по объекту Подрядчик письменно извещает Заказчика о готовности сдачи выполненных работ. </w:t>
      </w:r>
    </w:p>
    <w:p w:rsidR="008B5827" w:rsidRPr="008B5827" w:rsidRDefault="008B5827" w:rsidP="008B5827">
      <w:pPr>
        <w:autoSpaceDE w:val="0"/>
        <w:autoSpaceDN w:val="0"/>
        <w:spacing w:after="0"/>
        <w:ind w:firstLine="425"/>
        <w:rPr>
          <w:spacing w:val="-6"/>
        </w:rPr>
      </w:pPr>
    </w:p>
    <w:p w:rsidR="008B5827" w:rsidRPr="008B5827" w:rsidRDefault="008B5827" w:rsidP="008B5827">
      <w:pPr>
        <w:tabs>
          <w:tab w:val="left" w:pos="426"/>
        </w:tabs>
        <w:autoSpaceDE w:val="0"/>
        <w:autoSpaceDN w:val="0"/>
        <w:spacing w:after="0"/>
        <w:rPr>
          <w:b/>
          <w:bCs/>
        </w:rPr>
      </w:pPr>
      <w:r w:rsidRPr="008B5827">
        <w:rPr>
          <w:b/>
          <w:bCs/>
        </w:rPr>
        <w:t>9</w:t>
      </w:r>
      <w:r w:rsidRPr="008B5827">
        <w:t>.</w:t>
      </w:r>
      <w:r w:rsidRPr="008B5827">
        <w:tab/>
      </w:r>
      <w:r w:rsidRPr="008B5827">
        <w:rPr>
          <w:b/>
          <w:bCs/>
        </w:rPr>
        <w:t>Гарантии подрядной организации:</w:t>
      </w:r>
    </w:p>
    <w:p w:rsidR="008B5827" w:rsidRPr="008B5827" w:rsidRDefault="008B5827" w:rsidP="008B5827">
      <w:pPr>
        <w:shd w:val="clear" w:color="auto" w:fill="FFFFFF"/>
        <w:spacing w:after="0"/>
        <w:ind w:firstLine="317"/>
        <w:textAlignment w:val="baseline"/>
      </w:pPr>
      <w:r w:rsidRPr="008B5827">
        <w:t>9.1. Гарантия качества результата работ, предусмотренного контрактом, распространяется на всё составляющее результат работ.</w:t>
      </w:r>
    </w:p>
    <w:p w:rsidR="008B5827" w:rsidRPr="008B5827" w:rsidRDefault="008B5827" w:rsidP="008B5827">
      <w:pPr>
        <w:shd w:val="clear" w:color="auto" w:fill="FFFFFF"/>
        <w:spacing w:after="0"/>
        <w:ind w:firstLine="317"/>
        <w:textAlignment w:val="baseline"/>
      </w:pPr>
      <w:r w:rsidRPr="008B5827">
        <w:t>9.2. 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rsidR="008B5827" w:rsidRPr="008B5827" w:rsidRDefault="008B5827" w:rsidP="008B5827">
      <w:pPr>
        <w:shd w:val="clear" w:color="auto" w:fill="FFFFFF"/>
        <w:spacing w:after="0"/>
        <w:ind w:firstLine="317"/>
        <w:textAlignment w:val="baseline"/>
      </w:pPr>
      <w:r w:rsidRPr="008B5827">
        <w:t>Гарантийный срок на объект устанавливается сроком на 5 (пять) лет.</w:t>
      </w:r>
    </w:p>
    <w:p w:rsidR="008B5827" w:rsidRPr="008B5827" w:rsidRDefault="008B5827" w:rsidP="008B5827">
      <w:pPr>
        <w:shd w:val="clear" w:color="auto" w:fill="FFFFFF"/>
        <w:spacing w:after="0"/>
        <w:ind w:firstLine="317"/>
        <w:textAlignment w:val="baseline"/>
      </w:pPr>
      <w:r w:rsidRPr="008B5827">
        <w:t>9.3.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8B5827" w:rsidRPr="008B5827" w:rsidRDefault="008B5827" w:rsidP="008B5827">
      <w:pPr>
        <w:shd w:val="clear" w:color="auto" w:fill="FFFFFF"/>
        <w:spacing w:after="0"/>
        <w:ind w:firstLine="317"/>
        <w:textAlignment w:val="baseline"/>
      </w:pPr>
      <w:r w:rsidRPr="008B5827">
        <w:t>9.4. Устранение недостатков (дефектов) результата работ, выявленных в течение гарантийного срока, осуществляется силами Подрядчика и за его счет.</w:t>
      </w:r>
    </w:p>
    <w:p w:rsidR="008B5827" w:rsidRPr="008B5827" w:rsidRDefault="008B5827" w:rsidP="008B5827">
      <w:pPr>
        <w:shd w:val="clear" w:color="auto" w:fill="FFFFFF"/>
        <w:spacing w:after="0"/>
        <w:ind w:firstLine="317"/>
        <w:textAlignment w:val="baseline"/>
      </w:pPr>
      <w:r w:rsidRPr="008B5827">
        <w:t>9.5. 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rsidR="008B5827" w:rsidRPr="008B5827" w:rsidRDefault="008B5827" w:rsidP="008B5827">
      <w:pPr>
        <w:shd w:val="clear" w:color="auto" w:fill="FFFFFF"/>
        <w:spacing w:after="0"/>
        <w:ind w:firstLine="317"/>
        <w:textAlignment w:val="baseline"/>
      </w:pPr>
      <w:r w:rsidRPr="008B5827">
        <w:t>9.6. 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rsidR="008B5827" w:rsidRPr="008B5827" w:rsidRDefault="008B5827" w:rsidP="008B5827">
      <w:pPr>
        <w:shd w:val="clear" w:color="auto" w:fill="FFFFFF"/>
        <w:spacing w:after="0"/>
        <w:ind w:firstLine="317"/>
        <w:textAlignment w:val="baseline"/>
      </w:pPr>
      <w:r w:rsidRPr="008B5827">
        <w:t>9.7. 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rsidR="008B5827" w:rsidRPr="008B5827" w:rsidRDefault="008B5827" w:rsidP="008B5827">
      <w:pPr>
        <w:shd w:val="clear" w:color="auto" w:fill="FFFFFF"/>
        <w:spacing w:after="0"/>
        <w:ind w:firstLine="317"/>
        <w:textAlignment w:val="baseline"/>
      </w:pPr>
      <w:r w:rsidRPr="008B5827">
        <w:t xml:space="preserve">9.8. 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w:t>
      </w:r>
      <w:r w:rsidRPr="008B5827">
        <w:lastRenderedPageBreak/>
        <w:t>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rsidR="008B5827" w:rsidRPr="008B5827" w:rsidRDefault="008B5827" w:rsidP="008B5827">
      <w:pPr>
        <w:shd w:val="clear" w:color="auto" w:fill="FFFFFF"/>
        <w:spacing w:after="0"/>
        <w:ind w:firstLine="317"/>
        <w:textAlignment w:val="baseline"/>
      </w:pPr>
      <w:r w:rsidRPr="008B5827">
        <w:t>9.9. В случае отказа Подрядчика от устранения выявленных недостатков (дефектов) результата работ или в случае не 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rsidR="008B5827" w:rsidRPr="008B5827" w:rsidRDefault="008B5827" w:rsidP="008B5827">
      <w:pPr>
        <w:tabs>
          <w:tab w:val="left" w:pos="426"/>
        </w:tabs>
        <w:autoSpaceDE w:val="0"/>
        <w:autoSpaceDN w:val="0"/>
        <w:spacing w:after="0"/>
        <w:ind w:firstLine="317"/>
        <w:rPr>
          <w:b/>
          <w:bCs/>
          <w:highlight w:val="yellow"/>
        </w:rPr>
      </w:pPr>
      <w:r w:rsidRPr="008B5827">
        <w:t>9.10. 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rsidR="008B5827" w:rsidRPr="008B5827" w:rsidRDefault="008B5827" w:rsidP="008B5827">
      <w:pPr>
        <w:suppressAutoHyphens/>
        <w:spacing w:after="0" w:line="288" w:lineRule="auto"/>
        <w:contextualSpacing/>
        <w:rPr>
          <w:rFonts w:eastAsia="Calibri"/>
        </w:rPr>
      </w:pPr>
    </w:p>
    <w:p w:rsidR="008B5827" w:rsidRPr="008B5827" w:rsidRDefault="008B5827" w:rsidP="008B5827">
      <w:pPr>
        <w:tabs>
          <w:tab w:val="left" w:pos="1134"/>
        </w:tabs>
        <w:spacing w:after="0" w:line="276" w:lineRule="auto"/>
        <w:ind w:firstLine="708"/>
        <w:rPr>
          <w:sz w:val="25"/>
          <w:szCs w:val="25"/>
        </w:rPr>
      </w:pPr>
    </w:p>
    <w:p w:rsidR="001C5F37" w:rsidRPr="001C5F37" w:rsidRDefault="001C5F37" w:rsidP="008B5827">
      <w:pPr>
        <w:spacing w:after="0"/>
        <w:ind w:firstLine="567"/>
        <w:rPr>
          <w:b/>
        </w:rPr>
      </w:pPr>
    </w:p>
    <w:sectPr w:rsidR="001C5F37" w:rsidRPr="001C5F37" w:rsidSect="00355D3A">
      <w:pgSz w:w="11907" w:h="16839" w:code="9"/>
      <w:pgMar w:top="510" w:right="748" w:bottom="567" w:left="1276" w:header="720"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E11" w:rsidRDefault="009D3E11" w:rsidP="003C316D">
      <w:pPr>
        <w:spacing w:after="0"/>
      </w:pPr>
      <w:r>
        <w:separator/>
      </w:r>
    </w:p>
  </w:endnote>
  <w:endnote w:type="continuationSeparator" w:id="0">
    <w:p w:rsidR="009D3E11" w:rsidRDefault="009D3E11" w:rsidP="003C316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E11" w:rsidRDefault="009D3E11" w:rsidP="003C316D">
      <w:pPr>
        <w:spacing w:after="0"/>
      </w:pPr>
      <w:r>
        <w:separator/>
      </w:r>
    </w:p>
  </w:footnote>
  <w:footnote w:type="continuationSeparator" w:id="0">
    <w:p w:rsidR="009D3E11" w:rsidRDefault="009D3E11" w:rsidP="003C316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6041"/>
    <w:multiLevelType w:val="hybridMultilevel"/>
    <w:tmpl w:val="F0C455B0"/>
    <w:lvl w:ilvl="0" w:tplc="BAB4458E">
      <w:start w:val="1"/>
      <w:numFmt w:val="decimal"/>
      <w:lvlText w:val="%1."/>
      <w:lvlJc w:val="left"/>
      <w:pPr>
        <w:tabs>
          <w:tab w:val="num" w:pos="786"/>
        </w:tabs>
        <w:ind w:left="786" w:hanging="360"/>
      </w:pPr>
      <w:rPr>
        <w:rFonts w:hint="default"/>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
    <w:nsid w:val="079F1CCA"/>
    <w:multiLevelType w:val="hybridMultilevel"/>
    <w:tmpl w:val="94946E72"/>
    <w:lvl w:ilvl="0" w:tplc="B60427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3">
    <w:nsid w:val="13711B07"/>
    <w:multiLevelType w:val="hybridMultilevel"/>
    <w:tmpl w:val="37DA2ECE"/>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
    <w:nsid w:val="2EE41DDD"/>
    <w:multiLevelType w:val="hybridMultilevel"/>
    <w:tmpl w:val="CBC4B472"/>
    <w:lvl w:ilvl="0" w:tplc="BCD60AE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nsid w:val="32D85432"/>
    <w:multiLevelType w:val="hybridMultilevel"/>
    <w:tmpl w:val="D6C86406"/>
    <w:lvl w:ilvl="0" w:tplc="22381AC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DC45BB3"/>
    <w:multiLevelType w:val="hybridMultilevel"/>
    <w:tmpl w:val="7CAAE5A4"/>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43E97450"/>
    <w:multiLevelType w:val="hybridMultilevel"/>
    <w:tmpl w:val="2BF2558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5830CF"/>
    <w:multiLevelType w:val="hybridMultilevel"/>
    <w:tmpl w:val="42647730"/>
    <w:lvl w:ilvl="0" w:tplc="04190001">
      <w:start w:val="1"/>
      <w:numFmt w:val="bullet"/>
      <w:lvlText w:val=""/>
      <w:lvlJc w:val="left"/>
      <w:pPr>
        <w:ind w:left="2070" w:hanging="360"/>
      </w:pPr>
      <w:rPr>
        <w:rFonts w:ascii="Symbol" w:hAnsi="Symbol"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9">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4839004A"/>
    <w:multiLevelType w:val="hybridMultilevel"/>
    <w:tmpl w:val="7FBE1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CE106F"/>
    <w:multiLevelType w:val="hybridMultilevel"/>
    <w:tmpl w:val="D0F261F8"/>
    <w:lvl w:ilvl="0" w:tplc="8C5C3CB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C0C2898"/>
    <w:multiLevelType w:val="hybridMultilevel"/>
    <w:tmpl w:val="18165EBC"/>
    <w:lvl w:ilvl="0" w:tplc="BCE04E1C">
      <w:start w:val="2"/>
      <w:numFmt w:val="decimal"/>
      <w:lvlText w:val="%1."/>
      <w:lvlJc w:val="left"/>
      <w:pPr>
        <w:tabs>
          <w:tab w:val="num" w:pos="900"/>
        </w:tabs>
        <w:ind w:left="900" w:hanging="360"/>
      </w:pPr>
      <w:rPr>
        <w:rFonts w:hint="default"/>
        <w:b/>
        <w:color w:val="00000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4D0045F0"/>
    <w:multiLevelType w:val="hybridMultilevel"/>
    <w:tmpl w:val="A3CA1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7952E8"/>
    <w:multiLevelType w:val="hybridMultilevel"/>
    <w:tmpl w:val="C35884B8"/>
    <w:lvl w:ilvl="0" w:tplc="62CEE6BA">
      <w:start w:val="1"/>
      <w:numFmt w:val="bullet"/>
      <w:lvlText w:val=""/>
      <w:lvlJc w:val="left"/>
      <w:pPr>
        <w:ind w:left="2070" w:hanging="360"/>
      </w:pPr>
      <w:rPr>
        <w:rFonts w:ascii="Symbol" w:hAnsi="Symbol"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16">
    <w:nsid w:val="57547460"/>
    <w:multiLevelType w:val="multilevel"/>
    <w:tmpl w:val="93B06294"/>
    <w:lvl w:ilvl="0">
      <w:start w:val="2"/>
      <w:numFmt w:val="decimal"/>
      <w:lvlText w:val="%1."/>
      <w:lvlJc w:val="left"/>
      <w:pPr>
        <w:ind w:left="540" w:hanging="540"/>
      </w:pPr>
    </w:lvl>
    <w:lvl w:ilvl="1">
      <w:start w:val="3"/>
      <w:numFmt w:val="decimal"/>
      <w:lvlText w:val="%1.%2."/>
      <w:lvlJc w:val="left"/>
      <w:pPr>
        <w:ind w:left="1675"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589C2841"/>
    <w:multiLevelType w:val="multilevel"/>
    <w:tmpl w:val="D168F7C8"/>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eastAsia="Times New Roman" w:hint="default"/>
        <w:b/>
        <w:u w:val="single"/>
      </w:rPr>
    </w:lvl>
    <w:lvl w:ilvl="2">
      <w:start w:val="1"/>
      <w:numFmt w:val="decimal"/>
      <w:isLgl/>
      <w:lvlText w:val="%1.%2.%3."/>
      <w:lvlJc w:val="left"/>
      <w:pPr>
        <w:ind w:left="1080" w:hanging="720"/>
      </w:pPr>
      <w:rPr>
        <w:rFonts w:eastAsia="Times New Roman" w:hint="default"/>
        <w:b/>
        <w:u w:val="single"/>
      </w:rPr>
    </w:lvl>
    <w:lvl w:ilvl="3">
      <w:start w:val="1"/>
      <w:numFmt w:val="decimal"/>
      <w:isLgl/>
      <w:lvlText w:val="%1.%2.%3.%4."/>
      <w:lvlJc w:val="left"/>
      <w:pPr>
        <w:ind w:left="1080" w:hanging="720"/>
      </w:pPr>
      <w:rPr>
        <w:rFonts w:eastAsia="Times New Roman" w:hint="default"/>
        <w:b/>
        <w:u w:val="single"/>
      </w:rPr>
    </w:lvl>
    <w:lvl w:ilvl="4">
      <w:start w:val="1"/>
      <w:numFmt w:val="decimal"/>
      <w:isLgl/>
      <w:lvlText w:val="%1.%2.%3.%4.%5."/>
      <w:lvlJc w:val="left"/>
      <w:pPr>
        <w:ind w:left="1440" w:hanging="1080"/>
      </w:pPr>
      <w:rPr>
        <w:rFonts w:eastAsia="Times New Roman" w:hint="default"/>
        <w:b/>
        <w:u w:val="single"/>
      </w:rPr>
    </w:lvl>
    <w:lvl w:ilvl="5">
      <w:start w:val="1"/>
      <w:numFmt w:val="decimal"/>
      <w:isLgl/>
      <w:lvlText w:val="%1.%2.%3.%4.%5.%6."/>
      <w:lvlJc w:val="left"/>
      <w:pPr>
        <w:ind w:left="1440" w:hanging="1080"/>
      </w:pPr>
      <w:rPr>
        <w:rFonts w:eastAsia="Times New Roman" w:hint="default"/>
        <w:b/>
        <w:u w:val="single"/>
      </w:rPr>
    </w:lvl>
    <w:lvl w:ilvl="6">
      <w:start w:val="1"/>
      <w:numFmt w:val="decimal"/>
      <w:isLgl/>
      <w:lvlText w:val="%1.%2.%3.%4.%5.%6.%7."/>
      <w:lvlJc w:val="left"/>
      <w:pPr>
        <w:ind w:left="1800" w:hanging="1440"/>
      </w:pPr>
      <w:rPr>
        <w:rFonts w:eastAsia="Times New Roman" w:hint="default"/>
        <w:b/>
        <w:u w:val="single"/>
      </w:rPr>
    </w:lvl>
    <w:lvl w:ilvl="7">
      <w:start w:val="1"/>
      <w:numFmt w:val="decimal"/>
      <w:isLgl/>
      <w:lvlText w:val="%1.%2.%3.%4.%5.%6.%7.%8."/>
      <w:lvlJc w:val="left"/>
      <w:pPr>
        <w:ind w:left="1800" w:hanging="1440"/>
      </w:pPr>
      <w:rPr>
        <w:rFonts w:eastAsia="Times New Roman" w:hint="default"/>
        <w:b/>
        <w:u w:val="single"/>
      </w:rPr>
    </w:lvl>
    <w:lvl w:ilvl="8">
      <w:start w:val="1"/>
      <w:numFmt w:val="decimal"/>
      <w:isLgl/>
      <w:lvlText w:val="%1.%2.%3.%4.%5.%6.%7.%8.%9."/>
      <w:lvlJc w:val="left"/>
      <w:pPr>
        <w:ind w:left="2160" w:hanging="1800"/>
      </w:pPr>
      <w:rPr>
        <w:rFonts w:eastAsia="Times New Roman" w:hint="default"/>
        <w:b/>
        <w:u w:val="single"/>
      </w:rPr>
    </w:lvl>
  </w:abstractNum>
  <w:abstractNum w:abstractNumId="18">
    <w:nsid w:val="6CAF35F7"/>
    <w:multiLevelType w:val="hybridMultilevel"/>
    <w:tmpl w:val="0BDC63AA"/>
    <w:lvl w:ilvl="0" w:tplc="EEF4B02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6BF5577"/>
    <w:multiLevelType w:val="hybridMultilevel"/>
    <w:tmpl w:val="02586B88"/>
    <w:lvl w:ilvl="0" w:tplc="0419000F">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1"/>
  </w:num>
  <w:num w:numId="3">
    <w:abstractNumId w:val="2"/>
  </w:num>
  <w:num w:numId="4">
    <w:abstractNumId w:val="3"/>
  </w:num>
  <w:num w:numId="5">
    <w:abstractNumId w:val="6"/>
  </w:num>
  <w:num w:numId="6">
    <w:abstractNumId w:val="8"/>
  </w:num>
  <w:num w:numId="7">
    <w:abstractNumId w:val="15"/>
  </w:num>
  <w:num w:numId="8">
    <w:abstractNumId w:val="12"/>
  </w:num>
  <w:num w:numId="9">
    <w:abstractNumId w:val="1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18"/>
  </w:num>
  <w:num w:numId="13">
    <w:abstractNumId w:val="13"/>
  </w:num>
  <w:num w:numId="14">
    <w:abstractNumId w:val="19"/>
  </w:num>
  <w:num w:numId="15">
    <w:abstractNumId w:val="14"/>
  </w:num>
  <w:num w:numId="16">
    <w:abstractNumId w:val="4"/>
  </w:num>
  <w:num w:numId="17">
    <w:abstractNumId w:val="5"/>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E2329E"/>
    <w:rsid w:val="000110DB"/>
    <w:rsid w:val="00026DEC"/>
    <w:rsid w:val="00035C7F"/>
    <w:rsid w:val="00042BB6"/>
    <w:rsid w:val="00044277"/>
    <w:rsid w:val="000444B1"/>
    <w:rsid w:val="00055CB3"/>
    <w:rsid w:val="00077569"/>
    <w:rsid w:val="000805B0"/>
    <w:rsid w:val="00097332"/>
    <w:rsid w:val="000B5F63"/>
    <w:rsid w:val="000C7ED1"/>
    <w:rsid w:val="000D1E4B"/>
    <w:rsid w:val="000E343D"/>
    <w:rsid w:val="000F719D"/>
    <w:rsid w:val="001144F4"/>
    <w:rsid w:val="00125A7E"/>
    <w:rsid w:val="00127EFE"/>
    <w:rsid w:val="00134459"/>
    <w:rsid w:val="0014123D"/>
    <w:rsid w:val="00146F90"/>
    <w:rsid w:val="00167D46"/>
    <w:rsid w:val="00170AA3"/>
    <w:rsid w:val="00171504"/>
    <w:rsid w:val="00181139"/>
    <w:rsid w:val="00181769"/>
    <w:rsid w:val="0018527E"/>
    <w:rsid w:val="001A0D66"/>
    <w:rsid w:val="001B0C05"/>
    <w:rsid w:val="001B7298"/>
    <w:rsid w:val="001C5F37"/>
    <w:rsid w:val="001D1D57"/>
    <w:rsid w:val="001D3CD9"/>
    <w:rsid w:val="001E18FA"/>
    <w:rsid w:val="001E1A82"/>
    <w:rsid w:val="001E70B4"/>
    <w:rsid w:val="001F6013"/>
    <w:rsid w:val="0024349D"/>
    <w:rsid w:val="00264487"/>
    <w:rsid w:val="002645C6"/>
    <w:rsid w:val="00270EAC"/>
    <w:rsid w:val="002775D9"/>
    <w:rsid w:val="00294C54"/>
    <w:rsid w:val="002A0A54"/>
    <w:rsid w:val="002A630C"/>
    <w:rsid w:val="002B03FF"/>
    <w:rsid w:val="002D138B"/>
    <w:rsid w:val="002D33AE"/>
    <w:rsid w:val="002D4BD6"/>
    <w:rsid w:val="002D79BC"/>
    <w:rsid w:val="002E4C5F"/>
    <w:rsid w:val="002E64A7"/>
    <w:rsid w:val="002F5581"/>
    <w:rsid w:val="00324184"/>
    <w:rsid w:val="00347C1D"/>
    <w:rsid w:val="003523B4"/>
    <w:rsid w:val="00355D3A"/>
    <w:rsid w:val="00374C2E"/>
    <w:rsid w:val="00375806"/>
    <w:rsid w:val="00382E1E"/>
    <w:rsid w:val="003910FF"/>
    <w:rsid w:val="003A1133"/>
    <w:rsid w:val="003A17C4"/>
    <w:rsid w:val="003C316D"/>
    <w:rsid w:val="003C6C75"/>
    <w:rsid w:val="003D5FD4"/>
    <w:rsid w:val="00451E63"/>
    <w:rsid w:val="00476AC9"/>
    <w:rsid w:val="0049515F"/>
    <w:rsid w:val="0050619B"/>
    <w:rsid w:val="00530355"/>
    <w:rsid w:val="005406AD"/>
    <w:rsid w:val="005454AF"/>
    <w:rsid w:val="00546AB8"/>
    <w:rsid w:val="00552C5F"/>
    <w:rsid w:val="0055661C"/>
    <w:rsid w:val="00564637"/>
    <w:rsid w:val="00567BA5"/>
    <w:rsid w:val="00593ED3"/>
    <w:rsid w:val="005A22E1"/>
    <w:rsid w:val="005A2E52"/>
    <w:rsid w:val="005D2462"/>
    <w:rsid w:val="005E32FD"/>
    <w:rsid w:val="005F0BAE"/>
    <w:rsid w:val="00604E53"/>
    <w:rsid w:val="00634925"/>
    <w:rsid w:val="006443EC"/>
    <w:rsid w:val="00652AD8"/>
    <w:rsid w:val="00653E95"/>
    <w:rsid w:val="00661BD1"/>
    <w:rsid w:val="00671476"/>
    <w:rsid w:val="00673CB0"/>
    <w:rsid w:val="00695611"/>
    <w:rsid w:val="006C257E"/>
    <w:rsid w:val="006C6073"/>
    <w:rsid w:val="006F4C51"/>
    <w:rsid w:val="00706D51"/>
    <w:rsid w:val="007226E0"/>
    <w:rsid w:val="007304D6"/>
    <w:rsid w:val="00741C85"/>
    <w:rsid w:val="00742DD2"/>
    <w:rsid w:val="00747DEA"/>
    <w:rsid w:val="00766572"/>
    <w:rsid w:val="00775396"/>
    <w:rsid w:val="007842A0"/>
    <w:rsid w:val="007A3F6C"/>
    <w:rsid w:val="007B33D8"/>
    <w:rsid w:val="007C75ED"/>
    <w:rsid w:val="00804D4D"/>
    <w:rsid w:val="00840C54"/>
    <w:rsid w:val="00854950"/>
    <w:rsid w:val="00860386"/>
    <w:rsid w:val="00874272"/>
    <w:rsid w:val="0088001D"/>
    <w:rsid w:val="0088445F"/>
    <w:rsid w:val="008A35B1"/>
    <w:rsid w:val="008A7E5C"/>
    <w:rsid w:val="008B30F2"/>
    <w:rsid w:val="008B5827"/>
    <w:rsid w:val="008C095E"/>
    <w:rsid w:val="008E2533"/>
    <w:rsid w:val="008F7BE8"/>
    <w:rsid w:val="009031D0"/>
    <w:rsid w:val="00916F05"/>
    <w:rsid w:val="00924DB5"/>
    <w:rsid w:val="009257FF"/>
    <w:rsid w:val="0094517B"/>
    <w:rsid w:val="00947B05"/>
    <w:rsid w:val="00967440"/>
    <w:rsid w:val="00982775"/>
    <w:rsid w:val="00997A0C"/>
    <w:rsid w:val="009A10FA"/>
    <w:rsid w:val="009A287D"/>
    <w:rsid w:val="009B5842"/>
    <w:rsid w:val="009D0584"/>
    <w:rsid w:val="009D349A"/>
    <w:rsid w:val="009D3E11"/>
    <w:rsid w:val="009F2B4D"/>
    <w:rsid w:val="009F582B"/>
    <w:rsid w:val="00A040A2"/>
    <w:rsid w:val="00A05953"/>
    <w:rsid w:val="00A16C21"/>
    <w:rsid w:val="00A16F52"/>
    <w:rsid w:val="00A32115"/>
    <w:rsid w:val="00A40AAF"/>
    <w:rsid w:val="00A92DC5"/>
    <w:rsid w:val="00A93B40"/>
    <w:rsid w:val="00A93DD0"/>
    <w:rsid w:val="00A95E6C"/>
    <w:rsid w:val="00AE3621"/>
    <w:rsid w:val="00AE633F"/>
    <w:rsid w:val="00B236D7"/>
    <w:rsid w:val="00B2731A"/>
    <w:rsid w:val="00B710CD"/>
    <w:rsid w:val="00B927CA"/>
    <w:rsid w:val="00BA0B6C"/>
    <w:rsid w:val="00BA6E31"/>
    <w:rsid w:val="00BD325D"/>
    <w:rsid w:val="00BE53D5"/>
    <w:rsid w:val="00C043D6"/>
    <w:rsid w:val="00C04F6B"/>
    <w:rsid w:val="00C2588C"/>
    <w:rsid w:val="00C34C3F"/>
    <w:rsid w:val="00C6478A"/>
    <w:rsid w:val="00C6688B"/>
    <w:rsid w:val="00C6798B"/>
    <w:rsid w:val="00C841AA"/>
    <w:rsid w:val="00CB21E9"/>
    <w:rsid w:val="00CD1011"/>
    <w:rsid w:val="00CD11C6"/>
    <w:rsid w:val="00CD1302"/>
    <w:rsid w:val="00CE14BB"/>
    <w:rsid w:val="00CF26CD"/>
    <w:rsid w:val="00CF7470"/>
    <w:rsid w:val="00D14FDF"/>
    <w:rsid w:val="00D304AA"/>
    <w:rsid w:val="00D34130"/>
    <w:rsid w:val="00D37D19"/>
    <w:rsid w:val="00D42AAA"/>
    <w:rsid w:val="00D465FA"/>
    <w:rsid w:val="00D62356"/>
    <w:rsid w:val="00D62670"/>
    <w:rsid w:val="00D721BA"/>
    <w:rsid w:val="00D825B6"/>
    <w:rsid w:val="00D92C51"/>
    <w:rsid w:val="00DB3F18"/>
    <w:rsid w:val="00DD5E66"/>
    <w:rsid w:val="00DD7680"/>
    <w:rsid w:val="00E14C12"/>
    <w:rsid w:val="00E2329E"/>
    <w:rsid w:val="00E4304B"/>
    <w:rsid w:val="00E441C3"/>
    <w:rsid w:val="00E531A5"/>
    <w:rsid w:val="00E614FE"/>
    <w:rsid w:val="00E84B16"/>
    <w:rsid w:val="00E91D7B"/>
    <w:rsid w:val="00E975DE"/>
    <w:rsid w:val="00EA7A79"/>
    <w:rsid w:val="00ED1420"/>
    <w:rsid w:val="00EF1B00"/>
    <w:rsid w:val="00F70F0F"/>
    <w:rsid w:val="00FC0A50"/>
    <w:rsid w:val="00FC101B"/>
    <w:rsid w:val="00FC3703"/>
    <w:rsid w:val="00FC7A96"/>
    <w:rsid w:val="00FD241E"/>
    <w:rsid w:val="00FF1432"/>
    <w:rsid w:val="00FF63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29E"/>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0619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OG Heading 2,Загол2,Çàãîë2,1.1. Caaieiaie 2,1.1. Заголовок 2,Caaie2,Caaieiaie 2 Ciae"/>
    <w:basedOn w:val="a"/>
    <w:next w:val="a"/>
    <w:link w:val="20"/>
    <w:uiPriority w:val="99"/>
    <w:qFormat/>
    <w:rsid w:val="00171504"/>
    <w:pPr>
      <w:keepNext/>
      <w:spacing w:before="240"/>
      <w:jc w:val="lef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uiPriority w:val="99"/>
    <w:rsid w:val="00E2329E"/>
    <w:pPr>
      <w:widowControl w:val="0"/>
      <w:suppressAutoHyphens/>
      <w:autoSpaceDE w:val="0"/>
      <w:spacing w:after="0" w:line="240" w:lineRule="auto"/>
      <w:ind w:right="19772"/>
    </w:pPr>
    <w:rPr>
      <w:rFonts w:ascii="Courier New" w:eastAsia="Arial" w:hAnsi="Courier New" w:cs="Courier New"/>
      <w:sz w:val="20"/>
      <w:szCs w:val="20"/>
      <w:lang w:eastAsia="ar-SA"/>
    </w:rPr>
  </w:style>
  <w:style w:type="character" w:customStyle="1" w:styleId="ConsNonformat0">
    <w:name w:val="ConsNonformat Знак"/>
    <w:link w:val="ConsNonformat"/>
    <w:uiPriority w:val="99"/>
    <w:locked/>
    <w:rsid w:val="00E2329E"/>
    <w:rPr>
      <w:rFonts w:ascii="Courier New" w:eastAsia="Arial" w:hAnsi="Courier New" w:cs="Courier New"/>
      <w:sz w:val="20"/>
      <w:szCs w:val="20"/>
      <w:lang w:eastAsia="ar-SA"/>
    </w:rPr>
  </w:style>
  <w:style w:type="paragraph" w:styleId="a3">
    <w:name w:val="Body Text"/>
    <w:aliases w:val="body text"/>
    <w:basedOn w:val="a"/>
    <w:link w:val="a4"/>
    <w:rsid w:val="00A93B40"/>
    <w:pPr>
      <w:keepNext/>
      <w:suppressAutoHyphens/>
      <w:spacing w:after="0"/>
      <w:jc w:val="left"/>
      <w:outlineLvl w:val="0"/>
    </w:pPr>
    <w:rPr>
      <w:szCs w:val="20"/>
    </w:rPr>
  </w:style>
  <w:style w:type="character" w:customStyle="1" w:styleId="a4">
    <w:name w:val="Основной текст Знак"/>
    <w:aliases w:val="body text Знак"/>
    <w:basedOn w:val="a0"/>
    <w:link w:val="a3"/>
    <w:rsid w:val="00A93B40"/>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E3621"/>
    <w:pPr>
      <w:spacing w:after="0"/>
    </w:pPr>
    <w:rPr>
      <w:rFonts w:ascii="Tahoma" w:hAnsi="Tahoma" w:cs="Tahoma"/>
      <w:sz w:val="16"/>
      <w:szCs w:val="16"/>
    </w:rPr>
  </w:style>
  <w:style w:type="character" w:customStyle="1" w:styleId="a6">
    <w:name w:val="Текст выноски Знак"/>
    <w:basedOn w:val="a0"/>
    <w:link w:val="a5"/>
    <w:uiPriority w:val="99"/>
    <w:semiHidden/>
    <w:rsid w:val="00AE3621"/>
    <w:rPr>
      <w:rFonts w:ascii="Tahoma" w:eastAsia="Times New Roman" w:hAnsi="Tahoma" w:cs="Tahoma"/>
      <w:sz w:val="16"/>
      <w:szCs w:val="16"/>
      <w:lang w:eastAsia="ru-RU"/>
    </w:rPr>
  </w:style>
  <w:style w:type="character" w:customStyle="1" w:styleId="s5">
    <w:name w:val="s5"/>
    <w:basedOn w:val="a0"/>
    <w:rsid w:val="00167D46"/>
  </w:style>
  <w:style w:type="paragraph" w:customStyle="1" w:styleId="p6">
    <w:name w:val="p6"/>
    <w:basedOn w:val="a"/>
    <w:rsid w:val="00167D46"/>
    <w:pPr>
      <w:spacing w:before="100" w:beforeAutospacing="1" w:after="100" w:afterAutospacing="1"/>
      <w:jc w:val="left"/>
    </w:pPr>
  </w:style>
  <w:style w:type="paragraph" w:styleId="a7">
    <w:name w:val="List Paragraph"/>
    <w:aliases w:val="Bullet List,FooterText,numbered,ТЗ список,GOST_TableList,Paragraphe de liste1,lp1"/>
    <w:basedOn w:val="a"/>
    <w:link w:val="a8"/>
    <w:uiPriority w:val="99"/>
    <w:qFormat/>
    <w:rsid w:val="00B710CD"/>
    <w:pPr>
      <w:ind w:left="720"/>
      <w:contextualSpacing/>
    </w:pPr>
  </w:style>
  <w:style w:type="character" w:styleId="a9">
    <w:name w:val="Strong"/>
    <w:basedOn w:val="a0"/>
    <w:qFormat/>
    <w:rsid w:val="00D62670"/>
    <w:rPr>
      <w:b/>
      <w:bCs/>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171504"/>
    <w:rPr>
      <w:rFonts w:ascii="Cambria" w:eastAsia="Times New Roman" w:hAnsi="Cambria" w:cs="Cambria"/>
      <w:b/>
      <w:bCs/>
      <w:i/>
      <w:iCs/>
      <w:sz w:val="28"/>
      <w:szCs w:val="28"/>
      <w:lang w:eastAsia="ru-RU"/>
    </w:r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6F4C51"/>
    <w:rPr>
      <w:rFonts w:ascii="Times New Roman" w:eastAsia="Times New Roman" w:hAnsi="Times New Roman" w:cs="Times New Roman"/>
      <w:sz w:val="24"/>
      <w:szCs w:val="24"/>
      <w:lang w:eastAsia="ru-RU"/>
    </w:rPr>
  </w:style>
  <w:style w:type="paragraph" w:styleId="aa">
    <w:name w:val="footer"/>
    <w:basedOn w:val="a"/>
    <w:link w:val="ab"/>
    <w:rsid w:val="00924DB5"/>
    <w:pPr>
      <w:tabs>
        <w:tab w:val="center" w:pos="4677"/>
        <w:tab w:val="right" w:pos="9355"/>
      </w:tabs>
      <w:spacing w:after="0"/>
      <w:jc w:val="left"/>
    </w:pPr>
  </w:style>
  <w:style w:type="character" w:customStyle="1" w:styleId="ab">
    <w:name w:val="Нижний колонтитул Знак"/>
    <w:basedOn w:val="a0"/>
    <w:link w:val="aa"/>
    <w:rsid w:val="00924DB5"/>
    <w:rPr>
      <w:rFonts w:ascii="Times New Roman" w:eastAsia="Times New Roman" w:hAnsi="Times New Roman" w:cs="Times New Roman"/>
      <w:sz w:val="24"/>
      <w:szCs w:val="24"/>
      <w:lang w:eastAsia="ru-RU"/>
    </w:rPr>
  </w:style>
  <w:style w:type="character" w:styleId="ac">
    <w:name w:val="page number"/>
    <w:basedOn w:val="a0"/>
    <w:rsid w:val="00924DB5"/>
  </w:style>
  <w:style w:type="paragraph" w:styleId="ad">
    <w:name w:val="header"/>
    <w:basedOn w:val="a"/>
    <w:link w:val="ae"/>
    <w:unhideWhenUsed/>
    <w:rsid w:val="00924DB5"/>
    <w:pPr>
      <w:tabs>
        <w:tab w:val="center" w:pos="4677"/>
        <w:tab w:val="right" w:pos="9355"/>
      </w:tabs>
      <w:spacing w:after="0"/>
      <w:jc w:val="left"/>
    </w:pPr>
  </w:style>
  <w:style w:type="character" w:customStyle="1" w:styleId="ae">
    <w:name w:val="Верхний колонтитул Знак"/>
    <w:basedOn w:val="a0"/>
    <w:link w:val="ad"/>
    <w:rsid w:val="00924DB5"/>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A3211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A32115"/>
    <w:rPr>
      <w:rFonts w:ascii="Arial" w:eastAsia="Times New Roman" w:hAnsi="Arial" w:cs="Arial"/>
      <w:sz w:val="20"/>
      <w:szCs w:val="20"/>
      <w:lang w:eastAsia="ru-RU"/>
    </w:rPr>
  </w:style>
  <w:style w:type="paragraph" w:styleId="af">
    <w:name w:val="No Spacing"/>
    <w:link w:val="af0"/>
    <w:qFormat/>
    <w:rsid w:val="0018527E"/>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rsid w:val="0018527E"/>
    <w:rPr>
      <w:rFonts w:ascii="Times New Roman" w:eastAsia="Times New Roman" w:hAnsi="Times New Roman" w:cs="Times New Roman"/>
      <w:sz w:val="24"/>
      <w:szCs w:val="24"/>
      <w:lang w:eastAsia="ru-RU"/>
    </w:rPr>
  </w:style>
  <w:style w:type="table" w:styleId="af1">
    <w:name w:val="Table Grid"/>
    <w:basedOn w:val="a1"/>
    <w:uiPriority w:val="59"/>
    <w:rsid w:val="001852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1"/>
    <w:uiPriority w:val="59"/>
    <w:rsid w:val="00181139"/>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50619B"/>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6</Pages>
  <Words>2872</Words>
  <Characters>16372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Шумихина ЕН</dc:creator>
  <cp:lastModifiedBy>Пользователь Windows</cp:lastModifiedBy>
  <cp:revision>99</cp:revision>
  <cp:lastPrinted>2023-04-12T08:09:00Z</cp:lastPrinted>
  <dcterms:created xsi:type="dcterms:W3CDTF">2022-02-01T11:21:00Z</dcterms:created>
  <dcterms:modified xsi:type="dcterms:W3CDTF">2025-07-02T12:24:00Z</dcterms:modified>
</cp:coreProperties>
</file>