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A66263" w:rsidRDefault="00A66263" w:rsidP="00A66263">
            <w:r>
              <w:t>(8 81859) 5-21-69, 5-32-81</w:t>
            </w:r>
          </w:p>
          <w:p w:rsidR="009C7704" w:rsidRPr="009C7704" w:rsidRDefault="00A66263" w:rsidP="00A66263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A66263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D2" w:rsidRDefault="00A640D2" w:rsidP="005B09DD">
      <w:r>
        <w:separator/>
      </w:r>
    </w:p>
  </w:endnote>
  <w:endnote w:type="continuationSeparator" w:id="0">
    <w:p w:rsidR="00A640D2" w:rsidRDefault="00A640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D2" w:rsidRDefault="00A640D2" w:rsidP="005B09DD">
      <w:r>
        <w:separator/>
      </w:r>
    </w:p>
  </w:footnote>
  <w:footnote w:type="continuationSeparator" w:id="0">
    <w:p w:rsidR="00A640D2" w:rsidRDefault="00A640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640D2"/>
    <w:rsid w:val="00A66263"/>
    <w:rsid w:val="00AC0ED6"/>
    <w:rsid w:val="00BA10E8"/>
    <w:rsid w:val="00CA0175"/>
    <w:rsid w:val="00D13B05"/>
    <w:rsid w:val="00D23EDC"/>
    <w:rsid w:val="00DD1507"/>
    <w:rsid w:val="00DE0EE6"/>
    <w:rsid w:val="00E736F8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7618F-4E44-46F9-9838-C4772A43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11757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2025-07-08T12:46:00Z</dcterms:created>
  <dcterms:modified xsi:type="dcterms:W3CDTF">2025-07-08T12:46:00Z</dcterms:modified>
</cp:coreProperties>
</file>