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BB25B0" w:rsidRDefault="00BB25B0" w:rsidP="006F66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F66C2">
        <w:rPr>
          <w:rFonts w:ascii="Times New Roman" w:hAnsi="Times New Roman" w:cs="Times New Roman"/>
          <w:sz w:val="28"/>
          <w:szCs w:val="28"/>
        </w:rPr>
        <w:t>вопросу предоставления разрешения на условно разрешенный вид использования земельного участка</w:t>
      </w:r>
    </w:p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0453BE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 w:rsidR="00A56B73">
        <w:rPr>
          <w:rFonts w:ascii="Times New Roman" w:hAnsi="Times New Roman" w:cs="Times New Roman"/>
          <w:sz w:val="28"/>
          <w:szCs w:val="28"/>
        </w:rPr>
        <w:t>3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11430</wp:posOffset>
                </wp:positionV>
                <wp:extent cx="24574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290E9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="00D72305">
        <w:rPr>
          <w:rFonts w:ascii="Times New Roman" w:hAnsi="Times New Roman" w:cs="Times New Roman"/>
          <w:b/>
          <w:sz w:val="28"/>
          <w:szCs w:val="28"/>
        </w:rPr>
        <w:br/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11"/>
        <w:gridCol w:w="5109"/>
      </w:tblGrid>
      <w:tr w:rsidR="006F66C2" w:rsidRPr="00F36CB2" w:rsidTr="000453B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2" w:rsidRPr="00F36CB2" w:rsidRDefault="006F66C2" w:rsidP="000453BE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2" w:rsidRPr="00F36CB2" w:rsidRDefault="006F66C2" w:rsidP="006F6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разрешения на условно разрешенный вид использования земельного участка с кадастровым номером 29:09:0801</w:t>
            </w:r>
            <w:r w:rsidR="000453B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0453BE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площадью 1</w:t>
            </w:r>
            <w:r w:rsidR="000453BE">
              <w:rPr>
                <w:rFonts w:ascii="Times New Roman" w:hAnsi="Times New Roman" w:cs="Times New Roman"/>
                <w:bCs/>
                <w:sz w:val="24"/>
                <w:szCs w:val="24"/>
              </w:rPr>
              <w:t>194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>м, вид разрешенного использования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453BE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жил</w:t>
            </w:r>
            <w:r w:rsidR="000453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ую 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>застройк</w:t>
            </w:r>
            <w:r w:rsidR="000453BE">
              <w:rPr>
                <w:rFonts w:ascii="Times New Roman" w:hAnsi="Times New Roman" w:cs="Times New Roman"/>
                <w:bCs/>
                <w:sz w:val="24"/>
                <w:szCs w:val="24"/>
              </w:rPr>
              <w:t>у Индивидуальную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расположенного по адресу: Архангельская область, Ленский район, с. Яренск, ул. </w:t>
            </w:r>
            <w:r w:rsidR="000453BE"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Энергетиков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7C2B">
              <w:rPr>
                <w:rFonts w:ascii="Times New Roman" w:hAnsi="Times New Roman" w:cs="Times New Roman"/>
                <w:bCs/>
                <w:sz w:val="24"/>
                <w:szCs w:val="24"/>
              </w:rPr>
              <w:t>д. 7, для перевода его в земельный участок с видом использования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453BE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  <w:r w:rsidRPr="00F00A72">
              <w:rPr>
                <w:rFonts w:ascii="Times New Roman" w:hAnsi="Times New Roman" w:cs="Times New Roman"/>
                <w:bCs/>
                <w:sz w:val="24"/>
                <w:szCs w:val="24"/>
              </w:rPr>
              <w:t>, код вида разрешенного использования земельного участка – 2.1.</w:t>
            </w:r>
          </w:p>
        </w:tc>
      </w:tr>
      <w:tr w:rsidR="008F5AE7" w:rsidRPr="00F36CB2" w:rsidTr="000453B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0453BE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0453B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0453BE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0453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сельского поселения</w:t>
            </w:r>
            <w:r w:rsidR="0004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6B73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 (территория определенных земельных участков).</w:t>
            </w:r>
          </w:p>
        </w:tc>
      </w:tr>
      <w:tr w:rsidR="008F5AE7" w:rsidRPr="00F36CB2" w:rsidTr="000453B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0453BE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BB25B0" w:rsidRPr="00F36CB2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8F5AE7" w:rsidRPr="00F36CB2" w:rsidTr="000453B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0453BE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3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F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3BE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6F66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F66C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45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6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Pr="00F36CB2" w:rsidRDefault="0038174D" w:rsidP="000453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Предложений и замечаний не поступало.</w:t>
      </w:r>
      <w:bookmarkStart w:id="0" w:name="_GoBack"/>
      <w:bookmarkEnd w:id="0"/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6F66C2" w:rsidRDefault="006F66C2" w:rsidP="006F6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D2644" w:rsidRPr="00F36CB2" w:rsidRDefault="003D264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0F15ED" w:rsidP="00CF68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8174D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B01361">
        <w:rPr>
          <w:rFonts w:ascii="Times New Roman" w:hAnsi="Times New Roman" w:cs="Times New Roman"/>
          <w:sz w:val="28"/>
          <w:szCs w:val="28"/>
        </w:rPr>
        <w:t>рекомендует предоставить разрешение на условно разрешенный вид использования</w:t>
      </w:r>
      <w:r w:rsidR="00CF685A">
        <w:rPr>
          <w:rFonts w:ascii="Times New Roman" w:hAnsi="Times New Roman" w:cs="Times New Roman"/>
          <w:sz w:val="28"/>
          <w:szCs w:val="28"/>
        </w:rPr>
        <w:t xml:space="preserve"> </w:t>
      </w:r>
      <w:r w:rsidR="00B01361">
        <w:rPr>
          <w:rFonts w:ascii="Times New Roman" w:hAnsi="Times New Roman" w:cs="Times New Roman"/>
          <w:sz w:val="28"/>
          <w:szCs w:val="28"/>
        </w:rPr>
        <w:t xml:space="preserve"> </w:t>
      </w:r>
      <w:r w:rsidR="00CF685A">
        <w:rPr>
          <w:rFonts w:ascii="Times New Roman" w:hAnsi="Times New Roman" w:cs="Times New Roman"/>
          <w:sz w:val="28"/>
          <w:szCs w:val="28"/>
        </w:rPr>
        <w:t>«</w:t>
      </w:r>
      <w:r w:rsidR="000453B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CF685A">
        <w:rPr>
          <w:rFonts w:ascii="Times New Roman" w:hAnsi="Times New Roman" w:cs="Times New Roman"/>
          <w:sz w:val="28"/>
          <w:szCs w:val="28"/>
        </w:rPr>
        <w:t xml:space="preserve">» (код </w:t>
      </w:r>
      <w:r w:rsidR="00CF685A" w:rsidRPr="00CF685A">
        <w:rPr>
          <w:rFonts w:ascii="Times New Roman" w:hAnsi="Times New Roman" w:cs="Times New Roman"/>
          <w:sz w:val="28"/>
          <w:szCs w:val="28"/>
        </w:rPr>
        <w:t>(числовое обозначение) вида разрешенного использования земельного участка по классификатору видов разрешенного использования земельных участков, утвержденному приказом Росреестра от 10.11.2020 № П/0412 "Об утверждении классификатора видов разрешенного использования земельных участков",</w:t>
      </w:r>
      <w:r w:rsidR="00CF685A">
        <w:rPr>
          <w:rFonts w:ascii="Times New Roman" w:hAnsi="Times New Roman" w:cs="Times New Roman"/>
          <w:sz w:val="28"/>
          <w:szCs w:val="28"/>
        </w:rPr>
        <w:t xml:space="preserve"> – 2.1) для </w:t>
      </w:r>
      <w:r w:rsidR="00B01361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29:09:0801</w:t>
      </w:r>
      <w:r w:rsidR="000453BE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:</w:t>
      </w:r>
      <w:r w:rsidR="000453BE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площадью 1</w:t>
      </w:r>
      <w:r w:rsidR="000453BE">
        <w:rPr>
          <w:rFonts w:ascii="Times New Roman" w:hAnsi="Times New Roman" w:cs="Times New Roman"/>
          <w:sz w:val="28"/>
          <w:szCs w:val="28"/>
        </w:rPr>
        <w:t>194</w:t>
      </w:r>
      <w:r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Архангельская область, Ленский район, с. Яренск, ул. </w:t>
      </w:r>
      <w:r w:rsidR="000453BE">
        <w:rPr>
          <w:rFonts w:ascii="Times New Roman" w:hAnsi="Times New Roman" w:cs="Times New Roman"/>
          <w:sz w:val="28"/>
          <w:szCs w:val="28"/>
        </w:rPr>
        <w:t>Энергетик</w:t>
      </w:r>
      <w:r>
        <w:rPr>
          <w:rFonts w:ascii="Times New Roman" w:hAnsi="Times New Roman" w:cs="Times New Roman"/>
          <w:sz w:val="28"/>
          <w:szCs w:val="28"/>
        </w:rPr>
        <w:t xml:space="preserve">ов, д. 7, </w:t>
      </w:r>
      <w:r w:rsidR="00CF685A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в ходе публичных слушаний, а также от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</w:t>
      </w:r>
      <w:r w:rsidR="00CF685A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>
        <w:rPr>
          <w:rFonts w:ascii="Times New Roman" w:hAnsi="Times New Roman" w:cs="Times New Roman"/>
          <w:sz w:val="28"/>
          <w:szCs w:val="28"/>
        </w:rPr>
        <w:t>, предложений и замечаний не поступало</w:t>
      </w:r>
      <w:r w:rsidR="00CF685A">
        <w:rPr>
          <w:rFonts w:ascii="Times New Roman" w:hAnsi="Times New Roman" w:cs="Times New Roman"/>
          <w:sz w:val="28"/>
          <w:szCs w:val="28"/>
        </w:rPr>
        <w:t>.</w:t>
      </w: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685A" w:rsidRDefault="00CF685A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685A" w:rsidRPr="00F36CB2" w:rsidRDefault="00CF685A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 </w:t>
      </w:r>
      <w:r w:rsidR="00FC3B7F">
        <w:rPr>
          <w:rFonts w:ascii="Times New Roman" w:hAnsi="Times New Roman"/>
          <w:sz w:val="28"/>
          <w:szCs w:val="28"/>
        </w:rPr>
        <w:t xml:space="preserve"> </w:t>
      </w:r>
      <w:r w:rsidR="00D32BBF">
        <w:rPr>
          <w:rFonts w:ascii="Times New Roman" w:hAnsi="Times New Roman"/>
          <w:sz w:val="28"/>
          <w:szCs w:val="28"/>
        </w:rPr>
        <w:t>/</w:t>
      </w:r>
      <w:r w:rsidR="000453BE">
        <w:rPr>
          <w:rFonts w:ascii="Times New Roman" w:hAnsi="Times New Roman"/>
          <w:sz w:val="28"/>
          <w:szCs w:val="28"/>
        </w:rPr>
        <w:t>Белоголова</w:t>
      </w:r>
      <w:r w:rsidR="00FC3B7F">
        <w:rPr>
          <w:rFonts w:ascii="Times New Roman" w:hAnsi="Times New Roman"/>
          <w:sz w:val="28"/>
          <w:szCs w:val="28"/>
        </w:rPr>
        <w:t xml:space="preserve"> </w:t>
      </w:r>
      <w:r w:rsidR="000453BE">
        <w:rPr>
          <w:rFonts w:ascii="Times New Roman" w:hAnsi="Times New Roman"/>
          <w:sz w:val="28"/>
          <w:szCs w:val="28"/>
        </w:rPr>
        <w:t>И</w:t>
      </w:r>
      <w:r w:rsidR="00FC3B7F">
        <w:rPr>
          <w:rFonts w:ascii="Times New Roman" w:hAnsi="Times New Roman"/>
          <w:sz w:val="28"/>
          <w:szCs w:val="28"/>
        </w:rPr>
        <w:t>.</w:t>
      </w:r>
      <w:r w:rsidR="000453BE">
        <w:rPr>
          <w:rFonts w:ascii="Times New Roman" w:hAnsi="Times New Roman"/>
          <w:sz w:val="28"/>
          <w:szCs w:val="28"/>
        </w:rPr>
        <w:t>В</w:t>
      </w:r>
      <w:r w:rsidR="00FC3B7F">
        <w:rPr>
          <w:rFonts w:ascii="Times New Roman" w:hAnsi="Times New Roman"/>
          <w:sz w:val="28"/>
          <w:szCs w:val="28"/>
        </w:rPr>
        <w:t>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30480</wp:posOffset>
                </wp:positionV>
                <wp:extent cx="25431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23E7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  </w:t>
      </w:r>
      <w:r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/Морозова Л.В.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635C0" wp14:editId="50F8BBB9">
                <wp:simplePos x="0" y="0"/>
                <wp:positionH relativeFrom="column">
                  <wp:posOffset>3615691</wp:posOffset>
                </wp:positionH>
                <wp:positionV relativeFrom="paragraph">
                  <wp:posOffset>24130</wp:posOffset>
                </wp:positionV>
                <wp:extent cx="24765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3BA4F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5"/>
    <w:rsid w:val="000453BE"/>
    <w:rsid w:val="000F15ED"/>
    <w:rsid w:val="0014043F"/>
    <w:rsid w:val="001D7991"/>
    <w:rsid w:val="00283EB2"/>
    <w:rsid w:val="0038174D"/>
    <w:rsid w:val="003D2644"/>
    <w:rsid w:val="005C58FB"/>
    <w:rsid w:val="006D4B9D"/>
    <w:rsid w:val="006F66C2"/>
    <w:rsid w:val="007B1332"/>
    <w:rsid w:val="007F246C"/>
    <w:rsid w:val="008C6CBE"/>
    <w:rsid w:val="008F5AE7"/>
    <w:rsid w:val="00A04440"/>
    <w:rsid w:val="00A56B73"/>
    <w:rsid w:val="00B01361"/>
    <w:rsid w:val="00B4012E"/>
    <w:rsid w:val="00BB25B0"/>
    <w:rsid w:val="00BB4238"/>
    <w:rsid w:val="00CB0D5D"/>
    <w:rsid w:val="00CF685A"/>
    <w:rsid w:val="00D15BC7"/>
    <w:rsid w:val="00D32BBF"/>
    <w:rsid w:val="00D70548"/>
    <w:rsid w:val="00D7065B"/>
    <w:rsid w:val="00D72305"/>
    <w:rsid w:val="00DE2BB4"/>
    <w:rsid w:val="00E625DF"/>
    <w:rsid w:val="00E80A5E"/>
    <w:rsid w:val="00FA0DD5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5410E8B"/>
  <w15:chartTrackingRefBased/>
  <w15:docId w15:val="{A4156BF5-030F-403B-8AB1-1DD2BCA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2023-10-17T06:47:00Z</cp:lastPrinted>
  <dcterms:created xsi:type="dcterms:W3CDTF">2023-10-17T06:49:00Z</dcterms:created>
  <dcterms:modified xsi:type="dcterms:W3CDTF">2023-10-17T06:49:00Z</dcterms:modified>
</cp:coreProperties>
</file>